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C65AB" w14:textId="06AE8A70" w:rsidR="000E0085" w:rsidRDefault="000278F1" w:rsidP="00D53CBC">
      <w:pPr>
        <w:spacing w:line="276" w:lineRule="auto"/>
        <w:jc w:val="right"/>
      </w:pPr>
      <w:r>
        <w:t xml:space="preserve">Załącznik nr 1 do Formularza szacowania </w:t>
      </w:r>
      <w:r w:rsidR="00510700">
        <w:t>wartości przedmiotu zamówienia</w:t>
      </w:r>
    </w:p>
    <w:p w14:paraId="397E1105" w14:textId="77777777" w:rsidR="000278F1" w:rsidRPr="00D53CBC" w:rsidRDefault="000278F1" w:rsidP="00D53CBC">
      <w:pPr>
        <w:pStyle w:val="Nagwek1"/>
        <w:spacing w:line="276" w:lineRule="auto"/>
      </w:pPr>
      <w:r w:rsidRPr="00D53CBC">
        <w:t>Opis przedmiotu zamówienia: Usługa konsultacji specjalistycznych świadczonych przez architekta posiadającego doświadczenie w obszarze dostępności</w:t>
      </w:r>
    </w:p>
    <w:p w14:paraId="345FC95B" w14:textId="77777777" w:rsidR="000278F1" w:rsidRPr="000278F1" w:rsidRDefault="000278F1" w:rsidP="00D53CBC">
      <w:pPr>
        <w:spacing w:line="276" w:lineRule="auto"/>
      </w:pPr>
      <w:r w:rsidRPr="000278F1">
        <w:t>Przedmiotem zamówienia jest wybór Wykonawcy świadczącego usługi wsparcia w zakresie konsultacji architektonicznych w obszarze dostępności w ramach projektu „Akademia Łomżyńska dostępna plus”</w:t>
      </w:r>
    </w:p>
    <w:p w14:paraId="59BC680C" w14:textId="77777777" w:rsidR="000278F1" w:rsidRPr="00D53CBC" w:rsidRDefault="000278F1" w:rsidP="00D53CBC">
      <w:pPr>
        <w:pStyle w:val="Nagwek2"/>
        <w:spacing w:line="276" w:lineRule="auto"/>
      </w:pPr>
      <w:r w:rsidRPr="00D53CBC">
        <w:t>Zakres konsultacji:</w:t>
      </w:r>
    </w:p>
    <w:p w14:paraId="2BF072D8" w14:textId="77777777" w:rsidR="000278F1" w:rsidRPr="00B11E97" w:rsidRDefault="000278F1" w:rsidP="00D53CBC">
      <w:pPr>
        <w:pStyle w:val="Akapitzlist"/>
        <w:numPr>
          <w:ilvl w:val="0"/>
          <w:numId w:val="3"/>
        </w:numPr>
        <w:spacing w:line="276" w:lineRule="auto"/>
      </w:pPr>
      <w:r w:rsidRPr="000278F1">
        <w:t xml:space="preserve">Rozwiązania architektoniczne zgodne </w:t>
      </w:r>
      <w:r w:rsidRPr="00B11E97">
        <w:t>z koncepcją uniwersalnego projektowania i wskazywanie rozwiązań dostępnych dla jak największej liczby odbiorców w budynkach Akademii Łomżyńskiej.</w:t>
      </w:r>
    </w:p>
    <w:p w14:paraId="4272A42E" w14:textId="77777777" w:rsidR="000278F1" w:rsidRDefault="000278F1" w:rsidP="00D53CBC">
      <w:pPr>
        <w:pStyle w:val="Akapitzlist"/>
        <w:numPr>
          <w:ilvl w:val="0"/>
          <w:numId w:val="3"/>
        </w:numPr>
        <w:spacing w:line="276" w:lineRule="auto"/>
      </w:pPr>
      <w:r>
        <w:t>Wsparcie zespołu ds. dostępności a w szczególności koordynatora ds. dostępności architektonicznej przy realizacji zadań zaplanowanych w projekcie „Akademia Łomżyńska dostępna plus” w zakresie likwidacji barier i utrudnień architektonicznych dla osób ze szczególnymi potrzebami.</w:t>
      </w:r>
    </w:p>
    <w:p w14:paraId="43115F23" w14:textId="77777777" w:rsidR="000278F1" w:rsidRDefault="000278F1" w:rsidP="00D53CBC">
      <w:pPr>
        <w:pStyle w:val="Akapitzlist"/>
        <w:numPr>
          <w:ilvl w:val="0"/>
          <w:numId w:val="3"/>
        </w:numPr>
        <w:spacing w:line="276" w:lineRule="auto"/>
      </w:pPr>
      <w:r>
        <w:t>Konsultacje przygotowywanej dokumentacji z zakresu dostępności architektonicznej dla osób ze szczególnymi potrzebami. W ramach konsultacji Zamawiający wymaga, że architekt specjalizujący się w obszarze dostępności zaproponuje lub zaopiniuje zaproponowane rozwiązania pod kątem funkcjonalności dla osób z niepełnosprawnościami.</w:t>
      </w:r>
    </w:p>
    <w:p w14:paraId="0C7BA72C" w14:textId="78B83CF0" w:rsidR="000278F1" w:rsidRDefault="00CB4E4A" w:rsidP="00D53CBC">
      <w:pPr>
        <w:pStyle w:val="Akapitzlist"/>
        <w:numPr>
          <w:ilvl w:val="0"/>
          <w:numId w:val="3"/>
        </w:numPr>
        <w:spacing w:line="276" w:lineRule="auto"/>
      </w:pPr>
      <w:r>
        <w:t>Liczba</w:t>
      </w:r>
      <w:r w:rsidR="000278F1">
        <w:t xml:space="preserve"> przewidzianych godzin konsultacji wynosi</w:t>
      </w:r>
      <w:r>
        <w:t xml:space="preserve"> 240 godzin zegarowych (ok.</w:t>
      </w:r>
      <w:r w:rsidR="000278F1">
        <w:t xml:space="preserve"> 60 godzin zegarowych rocznie – ok. 5 h zegarowych miesięcznie przez okres trwania projektu t.j. do 31 stycznia 2029 r.). Liczba godzin konsultacji przypadająca w miesiącu jest orientacyjna. Zamawiający dopuszcza kształtowanie liczby godzin konsultacji na bieżąco w zależności od potrzeb zgłaszanych przez koordynatora ds. dostępności architektonicznej lub zespół projektowy.</w:t>
      </w:r>
    </w:p>
    <w:p w14:paraId="7EC8F435" w14:textId="77777777" w:rsidR="000278F1" w:rsidRDefault="000278F1" w:rsidP="00D53CBC">
      <w:pPr>
        <w:pStyle w:val="Akapitzlist"/>
        <w:numPr>
          <w:ilvl w:val="0"/>
          <w:numId w:val="3"/>
        </w:numPr>
        <w:spacing w:line="276" w:lineRule="auto"/>
      </w:pPr>
      <w:r>
        <w:t>Usługa doradcza jest rozumiana jako spotkanie bezpośrednie w siedzibach Zamawiającego zlokalizowanych na terenie miasta Łomża oraz spotkania</w:t>
      </w:r>
      <w:r w:rsidRPr="00D06262">
        <w:t xml:space="preserve"> online z </w:t>
      </w:r>
      <w:r>
        <w:t xml:space="preserve">zespołem ds. dostępności.  Zamawiający zastrzega, że spotkania bezpośrednie odbędą się minimum cztery razy w roku (ok. raz na kwartał). Realizacja projektu została zaplanowana na 48 osiem miesięcy od 1.02.2025 r. do 31.01.2029 r. Wykonawca zobowiązany jest więc  do przyjazdu do siedziby Zamawiającego minimum 16 razy w terminach uzgodnionych z Zamawiającym. </w:t>
      </w:r>
    </w:p>
    <w:p w14:paraId="7E4DA26A" w14:textId="77777777" w:rsidR="000278F1" w:rsidRDefault="000278F1" w:rsidP="00D53CBC">
      <w:pPr>
        <w:pStyle w:val="Akapitzlist"/>
        <w:numPr>
          <w:ilvl w:val="0"/>
          <w:numId w:val="3"/>
        </w:numPr>
        <w:spacing w:line="276" w:lineRule="auto"/>
      </w:pPr>
      <w:r>
        <w:t>Zamawiający nie pokrywa kosztów związanych z dojazdem do miejsca świadczenia usług doradczych oraz ewentualnym noclegiem, a czas niezbędny na dojazd z miejsca zamieszkania Wykonawcy do siedziby Zamawiającego nie wlicza się do godzin konsultacji.</w:t>
      </w:r>
    </w:p>
    <w:p w14:paraId="035CC4CE" w14:textId="77777777" w:rsidR="000278F1" w:rsidRDefault="000278F1" w:rsidP="00D53CBC">
      <w:pPr>
        <w:pStyle w:val="Akapitzlist"/>
        <w:numPr>
          <w:ilvl w:val="0"/>
          <w:numId w:val="3"/>
        </w:numPr>
        <w:spacing w:line="276" w:lineRule="auto"/>
      </w:pPr>
      <w:r>
        <w:t xml:space="preserve">Termin świadczenia usług doradczych musi być dostosowany do możliwości i potrzeb Zamawiającego oraz zgodny z harmonogramem realizacji projektu </w:t>
      </w:r>
    </w:p>
    <w:p w14:paraId="18F6D5E6" w14:textId="77777777" w:rsidR="000278F1" w:rsidRPr="000278F1" w:rsidRDefault="000278F1" w:rsidP="00D53CBC">
      <w:pPr>
        <w:pStyle w:val="Nagwek2"/>
        <w:spacing w:line="276" w:lineRule="auto"/>
      </w:pPr>
      <w:r w:rsidRPr="000278F1">
        <w:lastRenderedPageBreak/>
        <w:t>Wymagania:</w:t>
      </w:r>
    </w:p>
    <w:p w14:paraId="5078A1D5" w14:textId="77777777" w:rsidR="000278F1" w:rsidRDefault="000278F1" w:rsidP="00D53CBC">
      <w:pPr>
        <w:pStyle w:val="Akapitzlist"/>
        <w:numPr>
          <w:ilvl w:val="0"/>
          <w:numId w:val="4"/>
        </w:numPr>
        <w:spacing w:line="276" w:lineRule="auto"/>
      </w:pPr>
      <w:r>
        <w:t>Architekt posiadający niezbędną wiedzę, kwalifikacje i udokumentowane doświadczenie do wykonania przedmiotu zamówienia</w:t>
      </w:r>
    </w:p>
    <w:p w14:paraId="3EE55AF2" w14:textId="77777777" w:rsidR="000278F1" w:rsidRDefault="000278F1" w:rsidP="00D53CBC">
      <w:pPr>
        <w:pStyle w:val="Akapitzlist"/>
        <w:numPr>
          <w:ilvl w:val="0"/>
          <w:numId w:val="4"/>
        </w:numPr>
        <w:spacing w:line="276" w:lineRule="auto"/>
      </w:pPr>
      <w:r>
        <w:t>Wykształcenie wyższe kierunkowe: architektura lub równoważne</w:t>
      </w:r>
    </w:p>
    <w:p w14:paraId="7FDEC556" w14:textId="77777777" w:rsidR="000278F1" w:rsidRDefault="000278F1" w:rsidP="00D53CBC">
      <w:pPr>
        <w:pStyle w:val="Akapitzlist"/>
        <w:numPr>
          <w:ilvl w:val="0"/>
          <w:numId w:val="4"/>
        </w:numPr>
        <w:spacing w:line="276" w:lineRule="auto"/>
      </w:pPr>
      <w:r>
        <w:t>Udokumentowane doświadczenie w zakresie dostępności architektonicznej i projektowania uniwersalnego.</w:t>
      </w:r>
    </w:p>
    <w:p w14:paraId="204562C4" w14:textId="77777777" w:rsidR="000278F1" w:rsidRDefault="000278F1" w:rsidP="00D53CBC">
      <w:pPr>
        <w:pStyle w:val="Akapitzlist"/>
        <w:numPr>
          <w:ilvl w:val="0"/>
          <w:numId w:val="4"/>
        </w:numPr>
        <w:spacing w:line="276" w:lineRule="auto"/>
      </w:pPr>
      <w:r>
        <w:t>Znajomość przepisów prawa, standardów, wytycznych i norm z zakresu prawa budowlanego takich jak: u</w:t>
      </w:r>
      <w:r w:rsidRPr="00975875">
        <w:t>stawa z dnia 7 lipca 1994 r. Prawo budowlane (Dz.U. z 2021, poz. 2351 z późn. zm.)</w:t>
      </w:r>
      <w:r>
        <w:t>, ustawa z dnia 23 lipca 2003 r. o ochronie zabytków i opiece nad zabytkami (Dz.U. 2021</w:t>
      </w:r>
    </w:p>
    <w:p w14:paraId="20EAA9AF" w14:textId="77777777" w:rsidR="000278F1" w:rsidRDefault="000278F1" w:rsidP="00D53CBC">
      <w:pPr>
        <w:pStyle w:val="Akapitzlist"/>
        <w:spacing w:line="276" w:lineRule="auto"/>
      </w:pPr>
      <w:r>
        <w:t>poz. 710 z późn. zm.), rozporządzenie Ministra Infrastruktury z 12 kwietnia 2002 r. w sprawie warunków technicznych, jakim powinny odpowiadać budynki i ich usytuowanie (Dz.U. 2019 poz. 1065 z późn. zm.),</w:t>
      </w:r>
      <w:r w:rsidRPr="00DD7C03">
        <w:t xml:space="preserve"> </w:t>
      </w:r>
      <w:r>
        <w:t>ustawa z dnia 24 sierpnia 1991 r. o ochronie przeciwpożarowej (Dz.U. 2021 poz. 869 z późn. zm.),</w:t>
      </w:r>
      <w:r w:rsidRPr="00DE701B">
        <w:t xml:space="preserve"> </w:t>
      </w:r>
      <w:r>
        <w:t>Standardów dostępności budynków dla osób z niepełnosprawnościami uwzględniając koncepcję uniwersalnego projektowania – poradnik</w:t>
      </w:r>
    </w:p>
    <w:p w14:paraId="657C660E" w14:textId="77777777" w:rsidR="000278F1" w:rsidRDefault="000278F1" w:rsidP="00D53CBC">
      <w:pPr>
        <w:pStyle w:val="Akapitzlist"/>
        <w:spacing w:line="276" w:lineRule="auto"/>
      </w:pPr>
      <w:r>
        <w:t xml:space="preserve">Ministerstwa Inwestycji i Rozwoju, Budowlanego ABC opracowanego przez Ministerstwo Rozwoju i Technologii, publikacji dla architektów opracowanej przez Kamila Kowalskiego WŁĄCZNIK 2.0. </w:t>
      </w:r>
    </w:p>
    <w:p w14:paraId="70640BDD" w14:textId="77777777" w:rsidR="000278F1" w:rsidRDefault="000278F1" w:rsidP="00D53CBC">
      <w:pPr>
        <w:pStyle w:val="Akapitzlist"/>
        <w:numPr>
          <w:ilvl w:val="0"/>
          <w:numId w:val="4"/>
        </w:numPr>
        <w:spacing w:line="276" w:lineRule="auto"/>
      </w:pPr>
      <w:r>
        <w:t>Znajomość przepisów krajowych, europejskich i międzynarodowych, których Polska jest stroną w zakresie dostępności dla osób z niepełnosprawnościami, m.in. ustawy z dnia 19 lipca 2019 r. o zapewnianiu dostępności osobom ze szczególnymi potrzebami (t.j. Dz. U. z 2024 r. poz. 1411), Konwencji o Prawach Osób Niepełnosprawnych (Convention on the Rights of Persons with Disabilities – Rezolucja Zgromadzenia Ogólnego ONZ A/RES/61/106 z dnia 13 grudnia 2006), uchwały Sejmu RP z dnia 1 sierpnia 1997 r. – Karta Praw Osób Niepełnosprawnych (M.P. z 1997 Nr 50, poz. 475),</w:t>
      </w:r>
    </w:p>
    <w:p w14:paraId="492802E3" w14:textId="77777777" w:rsidR="000278F1" w:rsidRDefault="000278F1" w:rsidP="00D53CBC">
      <w:pPr>
        <w:spacing w:line="276" w:lineRule="auto"/>
        <w:ind w:left="360"/>
      </w:pPr>
    </w:p>
    <w:p w14:paraId="6CD81A83" w14:textId="77777777" w:rsidR="000278F1" w:rsidRDefault="000278F1" w:rsidP="00D53CBC">
      <w:pPr>
        <w:spacing w:line="276" w:lineRule="auto"/>
        <w:jc w:val="right"/>
      </w:pPr>
    </w:p>
    <w:sectPr w:rsidR="000278F1" w:rsidSect="000E0085">
      <w:headerReference w:type="even" r:id="rId8"/>
      <w:headerReference w:type="default" r:id="rId9"/>
      <w:footerReference w:type="even" r:id="rId10"/>
      <w:footerReference w:type="default" r:id="rId11"/>
      <w:headerReference w:type="first" r:id="rId12"/>
      <w:footerReference w:type="first" r:id="rId13"/>
      <w:pgSz w:w="11906" w:h="16838"/>
      <w:pgMar w:top="1717" w:right="1417" w:bottom="1417" w:left="1417" w:header="680" w:footer="794"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FE406" w14:textId="77777777" w:rsidR="00841BD8" w:rsidRDefault="003F7CA6">
      <w:pPr>
        <w:spacing w:after="0" w:line="240" w:lineRule="auto"/>
      </w:pPr>
      <w:r>
        <w:separator/>
      </w:r>
    </w:p>
  </w:endnote>
  <w:endnote w:type="continuationSeparator" w:id="0">
    <w:p w14:paraId="356709CB" w14:textId="77777777" w:rsidR="00841BD8" w:rsidRDefault="003F7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3F07" w14:textId="77777777" w:rsidR="009B3F17" w:rsidRDefault="009B3F1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A041B" w14:textId="77777777" w:rsidR="00B04D4D" w:rsidRDefault="003F7CA6">
    <w:pPr>
      <w:pStyle w:val="Stopka"/>
    </w:pPr>
    <w:r>
      <w:rPr>
        <w:noProof/>
      </w:rPr>
      <w:drawing>
        <wp:inline distT="0" distB="0" distL="0" distR="0" wp14:anchorId="2A0EAFC4" wp14:editId="1079BC89">
          <wp:extent cx="5759450" cy="793750"/>
          <wp:effectExtent l="0" t="0" r="0" b="0"/>
          <wp:docPr id="18" name="Picture 10" descr="Zestawienie znaków: Fundusze Europejskie dla Rozwoju Społecznego, Barwy Rzeczypospolitej Polskiej,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descr="Zestawienie znaków: Fundusze Europejskie dla Rozwoju Społecznego, Barwy Rzeczypospolitej Polskiej, Unia Europejska"/>
                  <pic:cNvPicPr>
                    <a:picLocks noChangeAspect="1" noChangeArrowheads="1"/>
                  </pic:cNvPicPr>
                </pic:nvPicPr>
                <pic:blipFill>
                  <a:blip r:embed="rId1"/>
                  <a:stretch>
                    <a:fillRect/>
                  </a:stretch>
                </pic:blipFill>
                <pic:spPr bwMode="auto">
                  <a:xfrm>
                    <a:off x="0" y="0"/>
                    <a:ext cx="5759450" cy="793750"/>
                  </a:xfrm>
                  <a:prstGeom prst="rect">
                    <a:avLst/>
                  </a:prstGeom>
                  <a:noFill/>
                </pic:spPr>
              </pic:pic>
            </a:graphicData>
          </a:graphic>
        </wp:inline>
      </w:drawing>
    </w:r>
  </w:p>
  <w:p w14:paraId="7EEC8328" w14:textId="43D43D28" w:rsidR="00B04D4D" w:rsidRDefault="003F7CA6">
    <w:pPr>
      <w:pStyle w:val="NormalnyWeb"/>
      <w:shd w:val="clear" w:color="auto" w:fill="FFFFFF"/>
      <w:spacing w:beforeAutospacing="0" w:after="0" w:afterAutospacing="0"/>
      <w:jc w:val="center"/>
      <w:textAlignment w:val="baseline"/>
      <w:rPr>
        <w:sz w:val="16"/>
        <w:szCs w:val="16"/>
      </w:rPr>
    </w:pPr>
    <w:r>
      <w:rPr>
        <w:rFonts w:asciiTheme="minorHAnsi" w:hAnsiTheme="minorHAnsi" w:cstheme="minorHAnsi"/>
        <w:color w:val="1B1B1B"/>
        <w:sz w:val="16"/>
        <w:szCs w:val="16"/>
      </w:rPr>
      <w:t xml:space="preserve">Projekt „Akademia Łomżyńska dostępna plus” nr </w:t>
    </w:r>
    <w:r w:rsidR="009B3F17" w:rsidRPr="009B3F17">
      <w:rPr>
        <w:rFonts w:asciiTheme="minorHAnsi" w:hAnsiTheme="minorHAnsi" w:cstheme="minorHAnsi"/>
        <w:color w:val="1B1B1B"/>
        <w:sz w:val="16"/>
        <w:szCs w:val="16"/>
      </w:rPr>
      <w:t>FERS.03.01-IP.08-0132/24</w:t>
    </w:r>
  </w:p>
  <w:p w14:paraId="52707F67" w14:textId="77777777" w:rsidR="00B04D4D" w:rsidRDefault="003F7CA6">
    <w:pPr>
      <w:pStyle w:val="NormalnyWeb"/>
      <w:shd w:val="clear" w:color="auto" w:fill="FFFFFF"/>
      <w:spacing w:beforeAutospacing="0" w:after="0" w:afterAutospacing="0"/>
      <w:jc w:val="center"/>
      <w:textAlignment w:val="baseline"/>
    </w:pPr>
    <w:r>
      <w:rPr>
        <w:rFonts w:asciiTheme="minorHAnsi" w:hAnsiTheme="minorHAnsi" w:cstheme="minorHAnsi"/>
        <w:i/>
        <w:iCs/>
        <w:color w:val="1B1B1B"/>
        <w:sz w:val="16"/>
        <w:szCs w:val="16"/>
      </w:rPr>
      <w:t>Fundusze Europejskie dla Rozwoju Społecznego 2021-2027 (FERS</w:t>
    </w:r>
    <w:r>
      <w:rPr>
        <w:rFonts w:asciiTheme="minorHAnsi" w:hAnsiTheme="minorHAnsi" w:cstheme="minorHAnsi"/>
        <w:color w:val="1B1B1B"/>
        <w:sz w:val="16"/>
        <w:szCs w:val="16"/>
      </w:rPr>
      <w:t>), Priorytet 3 </w:t>
    </w:r>
    <w:r>
      <w:rPr>
        <w:rStyle w:val="Uwydatnienie"/>
        <w:rFonts w:asciiTheme="minorHAnsi" w:hAnsiTheme="minorHAnsi" w:cstheme="minorHAnsi"/>
        <w:color w:val="1B1B1B"/>
        <w:sz w:val="16"/>
        <w:szCs w:val="16"/>
      </w:rPr>
      <w:t>Dostępność i usługi dla osób z niepełnosprawnościami</w:t>
    </w:r>
    <w:r>
      <w:rPr>
        <w:rFonts w:asciiTheme="minorHAnsi" w:hAnsiTheme="minorHAnsi" w:cstheme="minorHAnsi"/>
        <w:color w:val="1B1B1B"/>
        <w:sz w:val="16"/>
        <w:szCs w:val="16"/>
      </w:rPr>
      <w:t xml:space="preserve"> Działanie 03.01 </w:t>
    </w:r>
    <w:r>
      <w:rPr>
        <w:rStyle w:val="Uwydatnienie"/>
        <w:rFonts w:asciiTheme="minorHAnsi" w:hAnsiTheme="minorHAnsi" w:cstheme="minorHAnsi"/>
        <w:color w:val="1B1B1B"/>
        <w:sz w:val="16"/>
        <w:szCs w:val="16"/>
      </w:rPr>
      <w:t>Dostępność szkolnictwa wyższego.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CD6D" w14:textId="77777777" w:rsidR="00B04D4D" w:rsidRDefault="003F7CA6">
    <w:pPr>
      <w:pStyle w:val="Stopka"/>
    </w:pPr>
    <w:r>
      <w:rPr>
        <w:noProof/>
      </w:rPr>
      <w:drawing>
        <wp:inline distT="0" distB="0" distL="0" distR="0" wp14:anchorId="5652F5D7" wp14:editId="47AE2B5F">
          <wp:extent cx="5759450" cy="793750"/>
          <wp:effectExtent l="0" t="0" r="0" b="0"/>
          <wp:docPr id="20" name="Picture 10" descr="Zestawienie znaków: Fundusze Europejskie dla Rozwoju Społecznego, Barwy Rzeczypospolitej Polskiej,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 descr="Zestawienie znaków: Fundusze Europejskie dla Rozwoju Społecznego, Barwy Rzeczypospolitej Polskiej, Unia Europejska"/>
                  <pic:cNvPicPr>
                    <a:picLocks noChangeAspect="1" noChangeArrowheads="1"/>
                  </pic:cNvPicPr>
                </pic:nvPicPr>
                <pic:blipFill>
                  <a:blip r:embed="rId1"/>
                  <a:stretch>
                    <a:fillRect/>
                  </a:stretch>
                </pic:blipFill>
                <pic:spPr bwMode="auto">
                  <a:xfrm>
                    <a:off x="0" y="0"/>
                    <a:ext cx="5759450" cy="793750"/>
                  </a:xfrm>
                  <a:prstGeom prst="rect">
                    <a:avLst/>
                  </a:prstGeom>
                  <a:noFill/>
                </pic:spPr>
              </pic:pic>
            </a:graphicData>
          </a:graphic>
        </wp:inline>
      </w:drawing>
    </w:r>
  </w:p>
  <w:p w14:paraId="1EEB994E" w14:textId="77777777" w:rsidR="00B04D4D" w:rsidRDefault="003F7CA6">
    <w:pPr>
      <w:pStyle w:val="NormalnyWeb"/>
      <w:shd w:val="clear" w:color="auto" w:fill="FFFFFF"/>
      <w:spacing w:beforeAutospacing="0" w:after="0" w:afterAutospacing="0"/>
      <w:jc w:val="center"/>
      <w:textAlignment w:val="baseline"/>
      <w:rPr>
        <w:sz w:val="16"/>
        <w:szCs w:val="16"/>
      </w:rPr>
    </w:pPr>
    <w:r>
      <w:rPr>
        <w:rFonts w:asciiTheme="minorHAnsi" w:hAnsiTheme="minorHAnsi" w:cstheme="minorHAnsi"/>
        <w:color w:val="1B1B1B"/>
        <w:sz w:val="16"/>
        <w:szCs w:val="16"/>
      </w:rPr>
      <w:t>Projekt „Akademia Łomżyńska dostępna plus” nr FERS.03.01-IP.08-001/24</w:t>
    </w:r>
  </w:p>
  <w:p w14:paraId="4F64FC7C" w14:textId="77777777" w:rsidR="00B04D4D" w:rsidRDefault="003F7CA6">
    <w:pPr>
      <w:pStyle w:val="NormalnyWeb"/>
      <w:shd w:val="clear" w:color="auto" w:fill="FFFFFF"/>
      <w:spacing w:beforeAutospacing="0" w:after="0" w:afterAutospacing="0"/>
      <w:jc w:val="center"/>
      <w:textAlignment w:val="baseline"/>
    </w:pPr>
    <w:r>
      <w:rPr>
        <w:rFonts w:asciiTheme="minorHAnsi" w:hAnsiTheme="minorHAnsi" w:cstheme="minorHAnsi"/>
        <w:i/>
        <w:iCs/>
        <w:color w:val="1B1B1B"/>
        <w:sz w:val="16"/>
        <w:szCs w:val="16"/>
      </w:rPr>
      <w:t>Fundusze Europejskie dla Rozwoju Społecznego 2021-2027 (FERS</w:t>
    </w:r>
    <w:r>
      <w:rPr>
        <w:rFonts w:asciiTheme="minorHAnsi" w:hAnsiTheme="minorHAnsi" w:cstheme="minorHAnsi"/>
        <w:color w:val="1B1B1B"/>
        <w:sz w:val="16"/>
        <w:szCs w:val="16"/>
      </w:rPr>
      <w:t>), Priorytet 3 </w:t>
    </w:r>
    <w:r>
      <w:rPr>
        <w:rStyle w:val="Uwydatnienie"/>
        <w:rFonts w:asciiTheme="minorHAnsi" w:hAnsiTheme="minorHAnsi" w:cstheme="minorHAnsi"/>
        <w:color w:val="1B1B1B"/>
        <w:sz w:val="16"/>
        <w:szCs w:val="16"/>
      </w:rPr>
      <w:t>Dostępność i usługi dla osób z niepełnosprawnościami</w:t>
    </w:r>
    <w:r>
      <w:rPr>
        <w:rFonts w:asciiTheme="minorHAnsi" w:hAnsiTheme="minorHAnsi" w:cstheme="minorHAnsi"/>
        <w:color w:val="1B1B1B"/>
        <w:sz w:val="16"/>
        <w:szCs w:val="16"/>
      </w:rPr>
      <w:t xml:space="preserve"> Działanie 03.01 </w:t>
    </w:r>
    <w:r>
      <w:rPr>
        <w:rStyle w:val="Uwydatnienie"/>
        <w:rFonts w:asciiTheme="minorHAnsi" w:hAnsiTheme="minorHAnsi" w:cstheme="minorHAnsi"/>
        <w:color w:val="1B1B1B"/>
        <w:sz w:val="16"/>
        <w:szCs w:val="16"/>
      </w:rPr>
      <w:t>Dostępność szkolnictwa wyższego.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FCD0F" w14:textId="77777777" w:rsidR="00841BD8" w:rsidRDefault="003F7CA6">
      <w:pPr>
        <w:spacing w:after="0" w:line="240" w:lineRule="auto"/>
      </w:pPr>
      <w:r>
        <w:separator/>
      </w:r>
    </w:p>
  </w:footnote>
  <w:footnote w:type="continuationSeparator" w:id="0">
    <w:p w14:paraId="5E481E09" w14:textId="77777777" w:rsidR="00841BD8" w:rsidRDefault="003F7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187F" w14:textId="77777777" w:rsidR="009B3F17" w:rsidRDefault="009B3F1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EA98" w14:textId="77777777" w:rsidR="00B04D4D" w:rsidRDefault="003F7CA6">
    <w:pPr>
      <w:pStyle w:val="Nagwek"/>
    </w:pPr>
    <w:r>
      <w:rPr>
        <w:noProof/>
      </w:rPr>
      <w:drawing>
        <wp:anchor distT="0" distB="0" distL="0" distR="0" simplePos="0" relativeHeight="251656192" behindDoc="0" locked="0" layoutInCell="0" allowOverlap="1" wp14:anchorId="3A93F1C0" wp14:editId="58AE1955">
          <wp:simplePos x="0" y="0"/>
          <wp:positionH relativeFrom="column">
            <wp:align>center</wp:align>
          </wp:positionH>
          <wp:positionV relativeFrom="paragraph">
            <wp:posOffset>635</wp:posOffset>
          </wp:positionV>
          <wp:extent cx="5194300" cy="394970"/>
          <wp:effectExtent l="0" t="0" r="0" b="0"/>
          <wp:wrapSquare wrapText="largest"/>
          <wp:docPr id="17"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
                  <a:stretch>
                    <a:fillRect/>
                  </a:stretch>
                </pic:blipFill>
                <pic:spPr bwMode="auto">
                  <a:xfrm>
                    <a:off x="0" y="0"/>
                    <a:ext cx="5194300" cy="39497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585F0" w14:textId="77777777" w:rsidR="00B04D4D" w:rsidRDefault="003F7CA6">
    <w:pPr>
      <w:pStyle w:val="Nagwek"/>
    </w:pPr>
    <w:r>
      <w:rPr>
        <w:noProof/>
      </w:rPr>
      <w:drawing>
        <wp:anchor distT="0" distB="0" distL="0" distR="0" simplePos="0" relativeHeight="251675648" behindDoc="0" locked="0" layoutInCell="0" allowOverlap="1" wp14:anchorId="29428E71" wp14:editId="795F4124">
          <wp:simplePos x="0" y="0"/>
          <wp:positionH relativeFrom="column">
            <wp:align>center</wp:align>
          </wp:positionH>
          <wp:positionV relativeFrom="paragraph">
            <wp:posOffset>635</wp:posOffset>
          </wp:positionV>
          <wp:extent cx="5194300" cy="394970"/>
          <wp:effectExtent l="0" t="0" r="0" b="0"/>
          <wp:wrapSquare wrapText="largest"/>
          <wp:docPr id="19"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pic:cNvPicPr>
                    <a:picLocks noChangeAspect="1" noChangeArrowheads="1"/>
                  </pic:cNvPicPr>
                </pic:nvPicPr>
                <pic:blipFill>
                  <a:blip r:embed="rId1"/>
                  <a:stretch>
                    <a:fillRect/>
                  </a:stretch>
                </pic:blipFill>
                <pic:spPr bwMode="auto">
                  <a:xfrm>
                    <a:off x="0" y="0"/>
                    <a:ext cx="5194300" cy="39497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56482"/>
    <w:multiLevelType w:val="hybridMultilevel"/>
    <w:tmpl w:val="2C6475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2952BB1"/>
    <w:multiLevelType w:val="hybridMultilevel"/>
    <w:tmpl w:val="CC127B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3E31131"/>
    <w:multiLevelType w:val="hybridMultilevel"/>
    <w:tmpl w:val="8FB49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4D11D81"/>
    <w:multiLevelType w:val="hybridMultilevel"/>
    <w:tmpl w:val="1DC8CB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4D"/>
    <w:rsid w:val="000278F1"/>
    <w:rsid w:val="000E0085"/>
    <w:rsid w:val="003F7CA6"/>
    <w:rsid w:val="00510700"/>
    <w:rsid w:val="00681F23"/>
    <w:rsid w:val="008128B9"/>
    <w:rsid w:val="00827934"/>
    <w:rsid w:val="00841BD8"/>
    <w:rsid w:val="009B3F17"/>
    <w:rsid w:val="00B04D4D"/>
    <w:rsid w:val="00CB4E4A"/>
    <w:rsid w:val="00CF2425"/>
    <w:rsid w:val="00D53CB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6EF3C"/>
  <w15:docId w15:val="{0143D208-3814-4F7E-9BEC-0422E143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basedOn w:val="Normalny"/>
    <w:next w:val="Normalny"/>
    <w:link w:val="Nagwek1Znak"/>
    <w:uiPriority w:val="9"/>
    <w:qFormat/>
    <w:rsid w:val="00D53CBC"/>
    <w:pPr>
      <w:keepNext/>
      <w:keepLines/>
      <w:spacing w:before="240" w:after="0"/>
      <w:outlineLvl w:val="0"/>
    </w:pPr>
    <w:rPr>
      <w:rFonts w:asciiTheme="majorHAnsi" w:eastAsiaTheme="majorEastAsia" w:hAnsiTheme="majorHAnsi" w:cstheme="majorBidi"/>
      <w:b/>
      <w:bCs/>
      <w:sz w:val="32"/>
      <w:szCs w:val="32"/>
    </w:rPr>
  </w:style>
  <w:style w:type="paragraph" w:styleId="Nagwek2">
    <w:name w:val="heading 2"/>
    <w:basedOn w:val="Normalny"/>
    <w:next w:val="Normalny"/>
    <w:link w:val="Nagwek2Znak"/>
    <w:uiPriority w:val="9"/>
    <w:unhideWhenUsed/>
    <w:qFormat/>
    <w:rsid w:val="00D53CBC"/>
    <w:pPr>
      <w:keepNext/>
      <w:keepLines/>
      <w:spacing w:before="40" w:after="0"/>
      <w:outlineLvl w:val="1"/>
    </w:pPr>
    <w:rPr>
      <w:rFonts w:asciiTheme="majorHAnsi" w:eastAsiaTheme="majorEastAsia" w:hAnsiTheme="majorHAnsi"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CD6599"/>
  </w:style>
  <w:style w:type="character" w:customStyle="1" w:styleId="StopkaZnak">
    <w:name w:val="Stopka Znak"/>
    <w:basedOn w:val="Domylnaczcionkaakapitu"/>
    <w:link w:val="Stopka"/>
    <w:uiPriority w:val="99"/>
    <w:qFormat/>
    <w:rsid w:val="00CD6599"/>
  </w:style>
  <w:style w:type="character" w:styleId="Uwydatnienie">
    <w:name w:val="Emphasis"/>
    <w:basedOn w:val="Domylnaczcionkaakapitu"/>
    <w:uiPriority w:val="20"/>
    <w:qFormat/>
    <w:rsid w:val="00CD6599"/>
    <w:rPr>
      <w:i/>
      <w:iCs/>
    </w:rPr>
  </w:style>
  <w:style w:type="paragraph" w:styleId="Nagwek">
    <w:name w:val="header"/>
    <w:basedOn w:val="Normalny"/>
    <w:next w:val="Tekstpodstawowy"/>
    <w:link w:val="NagwekZnak"/>
    <w:uiPriority w:val="99"/>
    <w:unhideWhenUsed/>
    <w:rsid w:val="00CD6599"/>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D6599"/>
    <w:pPr>
      <w:tabs>
        <w:tab w:val="center" w:pos="4536"/>
        <w:tab w:val="right" w:pos="9072"/>
      </w:tabs>
      <w:spacing w:after="0" w:line="240" w:lineRule="auto"/>
    </w:pPr>
  </w:style>
  <w:style w:type="paragraph" w:styleId="NormalnyWeb">
    <w:name w:val="Normal (Web)"/>
    <w:basedOn w:val="Normalny"/>
    <w:uiPriority w:val="99"/>
    <w:unhideWhenUsed/>
    <w:qFormat/>
    <w:rsid w:val="00CD6599"/>
    <w:pPr>
      <w:spacing w:beforeAutospacing="1"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53CBC"/>
    <w:rPr>
      <w:rFonts w:asciiTheme="majorHAnsi" w:eastAsiaTheme="majorEastAsia" w:hAnsiTheme="majorHAnsi" w:cstheme="majorBidi"/>
      <w:b/>
      <w:bCs/>
      <w:sz w:val="32"/>
      <w:szCs w:val="32"/>
    </w:rPr>
  </w:style>
  <w:style w:type="character" w:customStyle="1" w:styleId="Nagwek2Znak">
    <w:name w:val="Nagłówek 2 Znak"/>
    <w:basedOn w:val="Domylnaczcionkaakapitu"/>
    <w:link w:val="Nagwek2"/>
    <w:uiPriority w:val="9"/>
    <w:rsid w:val="00D53CBC"/>
    <w:rPr>
      <w:rFonts w:asciiTheme="majorHAnsi" w:eastAsiaTheme="majorEastAsia" w:hAnsiTheme="majorHAnsi" w:cstheme="majorBidi"/>
      <w:b/>
      <w:bCs/>
      <w:sz w:val="26"/>
      <w:szCs w:val="26"/>
    </w:rPr>
  </w:style>
  <w:style w:type="table" w:styleId="Tabela-Siatka">
    <w:name w:val="Table Grid"/>
    <w:basedOn w:val="Standardowy"/>
    <w:uiPriority w:val="39"/>
    <w:rsid w:val="000E0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F24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C5607-F1CE-42A0-8D37-F7B72EA5B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615</Words>
  <Characters>3690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Opis przedmiotu zamówienia - konsultacje z architektem</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przedmiotu zamówienia konsultacje z architektem posiadającym doświadczenie w obszarze dostępności</dc:title>
  <dc:subject/>
  <dc:creator>Monika Konopka</dc:creator>
  <dc:description/>
  <cp:lastModifiedBy>Monika Konopka</cp:lastModifiedBy>
  <cp:revision>7</cp:revision>
  <dcterms:created xsi:type="dcterms:W3CDTF">2025-03-31T06:57:00Z</dcterms:created>
  <dcterms:modified xsi:type="dcterms:W3CDTF">2025-04-02T06:48:00Z</dcterms:modified>
  <dc:language>pl-PL</dc:language>
</cp:coreProperties>
</file>