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1860" w14:textId="4599DC06" w:rsidR="001152FF" w:rsidRPr="00296DB4" w:rsidRDefault="005056C4" w:rsidP="005056C4">
      <w:pPr>
        <w:pStyle w:val="Nagwek1"/>
      </w:pPr>
      <w:r w:rsidRPr="00296DB4">
        <w:t>Zapytanie ofertowe do audytu cyfrowego</w:t>
      </w:r>
    </w:p>
    <w:p w14:paraId="25F2EB3C" w14:textId="2865D969" w:rsidR="00245744" w:rsidRPr="00296DB4" w:rsidRDefault="00DA270C" w:rsidP="00E954CD">
      <w:r w:rsidRPr="00296DB4">
        <w:t xml:space="preserve">Zapytanie ofertowe </w:t>
      </w:r>
      <w:r w:rsidR="00F33C48" w:rsidRPr="00296DB4">
        <w:t>dotyczące realizacji zamówienia publicznego, którego przedmiotem jest:</w:t>
      </w:r>
      <w:r w:rsidR="00667AAC" w:rsidRPr="00296DB4">
        <w:t xml:space="preserve"> </w:t>
      </w:r>
      <w:r w:rsidR="00245744" w:rsidRPr="00296DB4">
        <w:t xml:space="preserve">usługa przeprowadzenia specjalistycznych badań i testów dostępności cyfrowej (audytu) strony internetowej </w:t>
      </w:r>
      <w:r w:rsidRPr="00296DB4">
        <w:t>Akademii Łomżyńskiej</w:t>
      </w:r>
      <w:r w:rsidR="00245744" w:rsidRPr="00296DB4">
        <w:t xml:space="preserve"> (</w:t>
      </w:r>
      <w:r w:rsidRPr="00296DB4">
        <w:t>AŁ</w:t>
      </w:r>
      <w:r w:rsidR="00245744" w:rsidRPr="00296DB4">
        <w:t xml:space="preserve">) pod adresem </w:t>
      </w:r>
      <w:r w:rsidR="00570E64" w:rsidRPr="00296DB4">
        <w:t>al.edu.pl</w:t>
      </w:r>
      <w:r w:rsidR="00245744" w:rsidRPr="00296DB4">
        <w:t xml:space="preserve"> pod kątem zgodności z Ustawą z dnia 4 kwietnia 2019 o dostępności cyfrowej stron internetowych i aplikacji mobilnych podmiotów publicznych (</w:t>
      </w:r>
      <w:r w:rsidR="005B3A74" w:rsidRPr="00296DB4">
        <w:t>Dz. U. z 2023 r. poz. 1440</w:t>
      </w:r>
      <w:r w:rsidR="00245744" w:rsidRPr="00296DB4">
        <w:t>) (zwaną dalej Ustawą).</w:t>
      </w:r>
    </w:p>
    <w:p w14:paraId="31AA7267" w14:textId="7BAD6C3E" w:rsidR="00DC6EE8" w:rsidRPr="00296DB4" w:rsidRDefault="00245744" w:rsidP="00E954CD">
      <w:r w:rsidRPr="00296DB4">
        <w:t xml:space="preserve">Audyt będzie dotyczył weryfikacji zgodności strony z Załącznikiem do Ustawy, przez co Zamawiający rozumie zgodność z odpowiednimi zaleceniami Web Content Accessibility </w:t>
      </w:r>
      <w:proofErr w:type="spellStart"/>
      <w:r w:rsidRPr="00296DB4">
        <w:t>Guidelines</w:t>
      </w:r>
      <w:proofErr w:type="spellEnd"/>
      <w:r w:rsidRPr="00296DB4">
        <w:t xml:space="preserve"> 2.</w:t>
      </w:r>
      <w:r w:rsidR="00DA270C" w:rsidRPr="00296DB4">
        <w:t>2</w:t>
      </w:r>
      <w:r w:rsidRPr="00296DB4">
        <w:t xml:space="preserve"> (zwanym dalej WCAG)</w:t>
      </w:r>
      <w:r w:rsidR="009D0A8F" w:rsidRPr="00296DB4">
        <w:t xml:space="preserve"> na poziomie </w:t>
      </w:r>
      <w:r w:rsidR="00827C18" w:rsidRPr="00296DB4">
        <w:t xml:space="preserve">A i </w:t>
      </w:r>
      <w:r w:rsidR="009D0A8F" w:rsidRPr="00296DB4">
        <w:t>AA</w:t>
      </w:r>
      <w:r w:rsidRPr="00296DB4">
        <w:t>, które można znaleźć w języku angielskim pod adresem https://www.w3.org/TR/WCAG2</w:t>
      </w:r>
      <w:r w:rsidR="00DA270C" w:rsidRPr="00296DB4">
        <w:t>2</w:t>
      </w:r>
      <w:r w:rsidRPr="00296DB4">
        <w:t>/. Ponadto audyt będzie dotyczył szczególnyc</w:t>
      </w:r>
      <w:r w:rsidR="00324AA0" w:rsidRPr="00296DB4">
        <w:t>h przepisów Ustawy zawartych w art. 8 ust. 2 pkt 2, a także w a</w:t>
      </w:r>
      <w:r w:rsidRPr="00296DB4">
        <w:t>rt. 10, przy czym sprawdzona zostanie obecność i zgodność Deklaracji Dostępności strony z dokumentem „Warunki techniczne publikacji oraz struktura dokumentu elektronicznego Deklaracji Dostępności”, który Ministerstwo Cyfry</w:t>
      </w:r>
      <w:r w:rsidR="00206740" w:rsidRPr="00296DB4">
        <w:t xml:space="preserve">zacji opublikowało </w:t>
      </w:r>
      <w:hyperlink r:id="rId7" w:history="1">
        <w:r w:rsidR="00206740" w:rsidRPr="00296DB4">
          <w:rPr>
            <w:rStyle w:val="Hipercze"/>
          </w:rPr>
          <w:t>pod adresem</w:t>
        </w:r>
      </w:hyperlink>
      <w:r w:rsidR="00206740" w:rsidRPr="00296DB4">
        <w:t xml:space="preserve"> (https://mc.bip.gov.pl/objasnienia-prawne/warunki-techniczne-publikacji-oraz-struktura-dokumentu-elektronicznego-deklaracji-dostepnosci.html)</w:t>
      </w:r>
    </w:p>
    <w:p w14:paraId="72F3AAA3" w14:textId="5A3653F4" w:rsidR="00F33C48" w:rsidRPr="00296DB4" w:rsidRDefault="00F33C48" w:rsidP="005056C4">
      <w:pPr>
        <w:pStyle w:val="Nagwek2"/>
      </w:pPr>
      <w:r w:rsidRPr="00296DB4">
        <w:t xml:space="preserve">I. </w:t>
      </w:r>
      <w:r w:rsidR="005056C4" w:rsidRPr="00296DB4">
        <w:t>Zamawiający</w:t>
      </w:r>
    </w:p>
    <w:p w14:paraId="33AEE00A" w14:textId="03D146C4" w:rsidR="00F33C48" w:rsidRPr="00296DB4" w:rsidRDefault="00570E64" w:rsidP="00E954CD">
      <w:pPr>
        <w:jc w:val="left"/>
      </w:pPr>
      <w:r w:rsidRPr="00296DB4">
        <w:t>Akademia Łomżyńska</w:t>
      </w:r>
      <w:r w:rsidR="00667AAC" w:rsidRPr="00296DB4">
        <w:br/>
      </w:r>
      <w:r w:rsidR="00F33C48" w:rsidRPr="00296DB4">
        <w:t>ul. Akademicka 14</w:t>
      </w:r>
      <w:r w:rsidR="00667AAC" w:rsidRPr="00296DB4">
        <w:br/>
      </w:r>
      <w:r w:rsidR="00F33C48" w:rsidRPr="00296DB4">
        <w:t>18-400 Łomża</w:t>
      </w:r>
    </w:p>
    <w:p w14:paraId="5E957B82" w14:textId="3DCA30CB" w:rsidR="00F33C48" w:rsidRPr="00296DB4" w:rsidRDefault="005056C4" w:rsidP="005056C4">
      <w:pPr>
        <w:pStyle w:val="Nagwek2"/>
      </w:pPr>
      <w:r w:rsidRPr="00296DB4">
        <w:t>II. Opis przedmiotu zamówienia</w:t>
      </w:r>
    </w:p>
    <w:p w14:paraId="27B01DD8" w14:textId="652E6494" w:rsidR="00F33C48" w:rsidRPr="00296DB4" w:rsidRDefault="00F33C48" w:rsidP="00284D18">
      <w:pPr>
        <w:pStyle w:val="Akapitzlist"/>
        <w:numPr>
          <w:ilvl w:val="0"/>
          <w:numId w:val="9"/>
        </w:numPr>
      </w:pPr>
      <w:r w:rsidRPr="00296DB4">
        <w:t>W ramach zamówienia publicznego Wykonawca zobowi</w:t>
      </w:r>
      <w:r w:rsidR="001C0FB0" w:rsidRPr="00296DB4">
        <w:t xml:space="preserve">ązany będzie do przeprowadzenia </w:t>
      </w:r>
      <w:r w:rsidRPr="00296DB4">
        <w:t xml:space="preserve">audytu dostępności cyfrowej stron internetowych oraz serwisów </w:t>
      </w:r>
      <w:r w:rsidR="00DA270C" w:rsidRPr="00296DB4">
        <w:t>Akademii Łomżyńskiej</w:t>
      </w:r>
      <w:r w:rsidRPr="00296DB4">
        <w:t xml:space="preserve"> </w:t>
      </w:r>
      <w:r w:rsidR="00FF5C2D" w:rsidRPr="00296DB4">
        <w:t xml:space="preserve">pod względem ich dostępności </w:t>
      </w:r>
      <w:r w:rsidRPr="00296DB4">
        <w:t>dla osób</w:t>
      </w:r>
      <w:r w:rsidR="00FF5C2D" w:rsidRPr="00296DB4">
        <w:t xml:space="preserve"> z niepełnosprawnościami </w:t>
      </w:r>
      <w:r w:rsidRPr="00296DB4">
        <w:t>i innych</w:t>
      </w:r>
      <w:r w:rsidR="001C0FB0" w:rsidRPr="00296DB4">
        <w:t xml:space="preserve"> </w:t>
      </w:r>
      <w:r w:rsidRPr="00296DB4">
        <w:t>narażonych dla wykluczenie cyfrowe w z</w:t>
      </w:r>
      <w:r w:rsidR="00B13A25" w:rsidRPr="00296DB4">
        <w:t xml:space="preserve">akresie spełnienia wymagań WCAG. </w:t>
      </w:r>
      <w:r w:rsidRPr="00296DB4">
        <w:t xml:space="preserve">Celem audytu jest doprowadzenie do zwiększenia użyteczności stron internetowych oraz serwisów </w:t>
      </w:r>
      <w:r w:rsidR="00DA270C" w:rsidRPr="00296DB4">
        <w:t>AŁ</w:t>
      </w:r>
      <w:r w:rsidRPr="00296DB4">
        <w:t xml:space="preserve"> dla użytkowników końcowych</w:t>
      </w:r>
      <w:r w:rsidR="00FF5C2D" w:rsidRPr="00296DB4">
        <w:t>.</w:t>
      </w:r>
      <w:r w:rsidRPr="00296DB4">
        <w:t xml:space="preserve"> Zamawiający w zakresie funkcjonalności </w:t>
      </w:r>
      <w:r w:rsidR="00570E64" w:rsidRPr="00296DB4">
        <w:t>al.edu.pl</w:t>
      </w:r>
      <w:r w:rsidRPr="00296DB4">
        <w:t xml:space="preserve">, dotyczących m.in. obsługi formularzy elektronicznych, planuje osiągnąć poziom dostępności </w:t>
      </w:r>
      <w:r w:rsidR="00827C18" w:rsidRPr="00296DB4">
        <w:t xml:space="preserve">A i </w:t>
      </w:r>
      <w:r w:rsidRPr="00296DB4">
        <w:t>AA.</w:t>
      </w:r>
    </w:p>
    <w:p w14:paraId="2A75A55C" w14:textId="13C15694" w:rsidR="00F33C48" w:rsidRPr="00296DB4" w:rsidRDefault="00F33C48" w:rsidP="00284D18">
      <w:pPr>
        <w:pStyle w:val="Akapitzlist"/>
        <w:numPr>
          <w:ilvl w:val="0"/>
          <w:numId w:val="9"/>
        </w:numPr>
      </w:pPr>
      <w:r w:rsidRPr="00296DB4">
        <w:t>Audyt powinien obejmować następujące etapy</w:t>
      </w:r>
      <w:r w:rsidR="009F1AEA" w:rsidRPr="00296DB4">
        <w:t>, gwarantujące pełne zbadania dostępności cyfrowej</w:t>
      </w:r>
      <w:r w:rsidRPr="00296DB4">
        <w:t>:</w:t>
      </w:r>
    </w:p>
    <w:p w14:paraId="34595DAF" w14:textId="733F2ABB" w:rsidR="009F1AEA" w:rsidRPr="00296DB4" w:rsidRDefault="009F1AEA" w:rsidP="00284D18">
      <w:pPr>
        <w:pStyle w:val="Akapitzlist"/>
        <w:numPr>
          <w:ilvl w:val="1"/>
          <w:numId w:val="10"/>
        </w:numPr>
      </w:pPr>
      <w:r w:rsidRPr="00296DB4">
        <w:t>Wytypowanie przez Wykonawcę podstron, na których zostanie zrealizowany kolejny etap audytu. Wykonawca przedstawi Zamawiającemu metodykę i narzędzia, za pomocą których podstrony zostały wytypowane i po ich zatwierdzeniu przez Zamawiające</w:t>
      </w:r>
      <w:r w:rsidR="007F2C32" w:rsidRPr="00296DB4">
        <w:t>go przejdzie do etapu drugiego.</w:t>
      </w:r>
    </w:p>
    <w:p w14:paraId="636BDE82" w14:textId="3D239C1F" w:rsidR="009F1AEA" w:rsidRPr="00296DB4" w:rsidRDefault="007F2C32" w:rsidP="00284D18">
      <w:pPr>
        <w:pStyle w:val="Akapitzlist"/>
        <w:numPr>
          <w:ilvl w:val="1"/>
          <w:numId w:val="10"/>
        </w:numPr>
      </w:pPr>
      <w:r w:rsidRPr="00296DB4">
        <w:t>B</w:t>
      </w:r>
      <w:r w:rsidR="009F1AEA" w:rsidRPr="00296DB4">
        <w:t xml:space="preserve">adanie strony internetowej przez doświadczonego audytora technicznego. Wskazane podstrony serwisu zostaną skontrolowane przez audytora znającego zarówno techniki budowy stron internetowych jak i wymagania dostępności cyfrowej. Wszystkie badania dostępności cyfrowej będą wykonywane, tam </w:t>
      </w:r>
      <w:r w:rsidR="009F1AEA" w:rsidRPr="00296DB4">
        <w:lastRenderedPageBreak/>
        <w:t xml:space="preserve">gdzie jest to niezbędne, również za pomocą najczęściej używanych czytników ekranu, programów powiększających i urządzeń mobilnych. </w:t>
      </w:r>
      <w:r w:rsidR="008D79F0" w:rsidRPr="00296DB4">
        <w:t>Raport z audytu eksperckiego będzie zawierał, w każdym przypadku stwierdzenia błędu w dostępności cyfrowej, rekomendacje techniczne wskazujące sposób, w jaki należy postępować by usunąć wskazany błąd.</w:t>
      </w:r>
    </w:p>
    <w:p w14:paraId="1C08730B" w14:textId="77777777" w:rsidR="00F33C48" w:rsidRPr="00296DB4" w:rsidRDefault="00F33C48" w:rsidP="00E954CD">
      <w:r w:rsidRPr="00296DB4">
        <w:t xml:space="preserve">Badanie specjalistyczne </w:t>
      </w:r>
      <w:r w:rsidR="006F701B" w:rsidRPr="00296DB4">
        <w:t>powinno polegać</w:t>
      </w:r>
      <w:r w:rsidRPr="00296DB4">
        <w:t xml:space="preserve"> m.in. na sprawdzeniu:</w:t>
      </w:r>
    </w:p>
    <w:p w14:paraId="0B321F5A" w14:textId="69CE9198" w:rsidR="00F33C48" w:rsidRPr="00296DB4" w:rsidRDefault="005B7286" w:rsidP="00284D18">
      <w:pPr>
        <w:pStyle w:val="Akapitzlist"/>
        <w:numPr>
          <w:ilvl w:val="0"/>
          <w:numId w:val="4"/>
        </w:numPr>
      </w:pPr>
      <w:r w:rsidRPr="00296DB4">
        <w:t>zgodności z WCAG 2.</w:t>
      </w:r>
      <w:r w:rsidR="00DA270C" w:rsidRPr="00296DB4">
        <w:t>2</w:t>
      </w:r>
      <w:r w:rsidR="009D0A8F" w:rsidRPr="00296DB4">
        <w:t xml:space="preserve"> poziom A i AA</w:t>
      </w:r>
      <w:r w:rsidR="00F33C48" w:rsidRPr="00296DB4">
        <w:t>;</w:t>
      </w:r>
    </w:p>
    <w:p w14:paraId="43502C85" w14:textId="2F46CAD3" w:rsidR="00F33C48" w:rsidRPr="00296DB4" w:rsidRDefault="00F33C48" w:rsidP="00FC4674">
      <w:pPr>
        <w:pStyle w:val="Akapitzlist"/>
        <w:numPr>
          <w:ilvl w:val="0"/>
          <w:numId w:val="4"/>
        </w:numPr>
      </w:pPr>
      <w:r w:rsidRPr="00296DB4">
        <w:t>zgodności z W3C;</w:t>
      </w:r>
    </w:p>
    <w:p w14:paraId="75C8B2EB" w14:textId="7DA53A76" w:rsidR="00F33C48" w:rsidRPr="00296DB4" w:rsidRDefault="00F33C48" w:rsidP="00284D18">
      <w:pPr>
        <w:pStyle w:val="Akapitzlist"/>
        <w:numPr>
          <w:ilvl w:val="0"/>
          <w:numId w:val="4"/>
        </w:numPr>
      </w:pPr>
      <w:r w:rsidRPr="00296DB4">
        <w:t>poprawności kontrastu kolorystyki systemu;</w:t>
      </w:r>
    </w:p>
    <w:p w14:paraId="17DCF56E" w14:textId="73268F1E" w:rsidR="00F33C48" w:rsidRPr="00296DB4" w:rsidRDefault="00F33C48" w:rsidP="00284D18">
      <w:pPr>
        <w:pStyle w:val="Akapitzlist"/>
        <w:numPr>
          <w:ilvl w:val="0"/>
          <w:numId w:val="4"/>
        </w:numPr>
      </w:pPr>
      <w:r w:rsidRPr="00296DB4">
        <w:t>poprawności działania systemu przy różnych systemach operacyjnych: Windows</w:t>
      </w:r>
      <w:r w:rsidR="00BD50DC" w:rsidRPr="00296DB4">
        <w:t xml:space="preserve"> </w:t>
      </w:r>
      <w:r w:rsidRPr="00296DB4">
        <w:t>i Linux</w:t>
      </w:r>
      <w:r w:rsidR="000328D1" w:rsidRPr="00296DB4">
        <w:t xml:space="preserve">, Android, </w:t>
      </w:r>
      <w:proofErr w:type="spellStart"/>
      <w:r w:rsidR="000328D1" w:rsidRPr="00296DB4">
        <w:t>macOS</w:t>
      </w:r>
      <w:proofErr w:type="spellEnd"/>
      <w:r w:rsidR="00FF5C2D" w:rsidRPr="00296DB4">
        <w:t>.</w:t>
      </w:r>
    </w:p>
    <w:p w14:paraId="12C041C0" w14:textId="455020D0" w:rsidR="00F33C48" w:rsidRPr="00296DB4" w:rsidRDefault="00F33C48" w:rsidP="00284D18">
      <w:pPr>
        <w:pStyle w:val="Akapitzlist"/>
        <w:numPr>
          <w:ilvl w:val="0"/>
          <w:numId w:val="4"/>
        </w:numPr>
      </w:pPr>
      <w:r w:rsidRPr="00296DB4">
        <w:t>poprawności działania systemu w obowiąz</w:t>
      </w:r>
      <w:r w:rsidR="001C0FB0" w:rsidRPr="00296DB4">
        <w:t xml:space="preserve">ujących oraz starszych wersjach </w:t>
      </w:r>
      <w:r w:rsidRPr="00296DB4">
        <w:t xml:space="preserve">przeglądarek: Internet Explorer, Mozilla </w:t>
      </w:r>
      <w:proofErr w:type="spellStart"/>
      <w:r w:rsidRPr="00296DB4">
        <w:t>Firefox</w:t>
      </w:r>
      <w:proofErr w:type="spellEnd"/>
      <w:r w:rsidRPr="00296DB4">
        <w:t>, Chrome, Opera, Safari;</w:t>
      </w:r>
    </w:p>
    <w:p w14:paraId="74A70C7B" w14:textId="1B1738EA" w:rsidR="00F33C48" w:rsidRPr="00296DB4" w:rsidRDefault="00F33C48" w:rsidP="00284D18">
      <w:pPr>
        <w:pStyle w:val="Akapitzlist"/>
        <w:numPr>
          <w:ilvl w:val="0"/>
          <w:numId w:val="4"/>
        </w:numPr>
      </w:pPr>
      <w:r w:rsidRPr="00296DB4">
        <w:t>poprawności działania systemu na urządzeniac</w:t>
      </w:r>
      <w:r w:rsidR="001C0FB0" w:rsidRPr="00296DB4">
        <w:t xml:space="preserve">h różnego typu: komputerach, </w:t>
      </w:r>
      <w:r w:rsidRPr="00296DB4">
        <w:t>tabletach, smartfonach;</w:t>
      </w:r>
    </w:p>
    <w:p w14:paraId="4796D18E" w14:textId="4225CB4D" w:rsidR="00F33C48" w:rsidRPr="00296DB4" w:rsidRDefault="00F33C48" w:rsidP="00284D18">
      <w:pPr>
        <w:pStyle w:val="Akapitzlist"/>
        <w:numPr>
          <w:ilvl w:val="0"/>
          <w:numId w:val="4"/>
        </w:numPr>
      </w:pPr>
      <w:r w:rsidRPr="00296DB4">
        <w:t>szybkości działania systemu na łączach o różnej przepustowości;</w:t>
      </w:r>
    </w:p>
    <w:p w14:paraId="0D416C3C" w14:textId="4F329B75" w:rsidR="006F701B" w:rsidRPr="00296DB4" w:rsidRDefault="006F701B" w:rsidP="00284D18">
      <w:pPr>
        <w:pStyle w:val="Akapitzlist"/>
        <w:numPr>
          <w:ilvl w:val="1"/>
          <w:numId w:val="10"/>
        </w:numPr>
      </w:pPr>
      <w:r w:rsidRPr="00296DB4">
        <w:t xml:space="preserve">Badanie </w:t>
      </w:r>
      <w:proofErr w:type="spellStart"/>
      <w:r w:rsidRPr="00296DB4">
        <w:t>testerskie</w:t>
      </w:r>
      <w:proofErr w:type="spellEnd"/>
      <w:r w:rsidRPr="00296DB4">
        <w:t xml:space="preserve">, czyli sprawdzenie wybranych elementów stron serwisu przez użytkowników z różnymi rodzajami niepełnosprawności zgodnie ze wskazaniami audytora technicznego realizującego drugi etap badania. Wykonawca przygotuje scenariusze badań </w:t>
      </w:r>
      <w:proofErr w:type="spellStart"/>
      <w:r w:rsidRPr="00296DB4">
        <w:t>testerskich</w:t>
      </w:r>
      <w:proofErr w:type="spellEnd"/>
      <w:r w:rsidRPr="00296DB4">
        <w:t xml:space="preserve">, które przedstawi Zamawiającemu do zatwierdzenia. Efektem badania </w:t>
      </w:r>
      <w:proofErr w:type="spellStart"/>
      <w:r w:rsidRPr="00296DB4">
        <w:t>testerskiego</w:t>
      </w:r>
      <w:proofErr w:type="spellEnd"/>
      <w:r w:rsidRPr="00296DB4">
        <w:t xml:space="preserve"> będzie raport z badania </w:t>
      </w:r>
      <w:proofErr w:type="spellStart"/>
      <w:r w:rsidRPr="00296DB4">
        <w:t>testerskiego</w:t>
      </w:r>
      <w:proofErr w:type="spellEnd"/>
      <w:r w:rsidRPr="00296DB4">
        <w:t>, w którym zostaną przedstawione wszystkie uwagi testerów opatrzone odpowiednim komentarzem audytora technicznego realizującego drugi etap badania wraz z niezbędnymi rekomendacjami technicznymi wskazującymi sposób, w jaki należy postępować by usunąć wskazane błędy.</w:t>
      </w:r>
    </w:p>
    <w:p w14:paraId="7258939C" w14:textId="77777777" w:rsidR="00F33C48" w:rsidRPr="00296DB4" w:rsidRDefault="00F33C48" w:rsidP="00E954CD">
      <w:r w:rsidRPr="00296DB4">
        <w:t xml:space="preserve">Badanie </w:t>
      </w:r>
      <w:proofErr w:type="spellStart"/>
      <w:r w:rsidRPr="00296DB4">
        <w:t>user</w:t>
      </w:r>
      <w:proofErr w:type="spellEnd"/>
      <w:r w:rsidRPr="00296DB4">
        <w:t xml:space="preserve"> </w:t>
      </w:r>
      <w:proofErr w:type="spellStart"/>
      <w:r w:rsidRPr="00296DB4">
        <w:t>experience</w:t>
      </w:r>
      <w:proofErr w:type="spellEnd"/>
      <w:r w:rsidRPr="00296DB4">
        <w:t xml:space="preserve"> </w:t>
      </w:r>
      <w:r w:rsidR="006F701B" w:rsidRPr="00296DB4">
        <w:t>powinno polegać</w:t>
      </w:r>
      <w:r w:rsidRPr="00296DB4">
        <w:t xml:space="preserve"> m.in. na sprawdzeniu:</w:t>
      </w:r>
    </w:p>
    <w:p w14:paraId="4B23B691" w14:textId="5C31FCF0" w:rsidR="00F33C48" w:rsidRPr="00296DB4" w:rsidRDefault="00F33C48" w:rsidP="00284D18">
      <w:pPr>
        <w:pStyle w:val="Akapitzlist"/>
        <w:numPr>
          <w:ilvl w:val="0"/>
          <w:numId w:val="5"/>
        </w:numPr>
      </w:pPr>
      <w:r w:rsidRPr="00296DB4">
        <w:t>ergonomii systemu;</w:t>
      </w:r>
    </w:p>
    <w:p w14:paraId="341FABEC" w14:textId="32EF1E17" w:rsidR="00F33C48" w:rsidRPr="00296DB4" w:rsidRDefault="00F33C48" w:rsidP="00284D18">
      <w:pPr>
        <w:pStyle w:val="Akapitzlist"/>
        <w:numPr>
          <w:ilvl w:val="0"/>
          <w:numId w:val="5"/>
        </w:numPr>
      </w:pPr>
      <w:r w:rsidRPr="00296DB4">
        <w:t>dostępności zawartych w nim informacji;</w:t>
      </w:r>
    </w:p>
    <w:p w14:paraId="3E134F02" w14:textId="172853C9" w:rsidR="00F33C48" w:rsidRPr="00296DB4" w:rsidRDefault="00F33C48" w:rsidP="00284D18">
      <w:pPr>
        <w:pStyle w:val="Akapitzlist"/>
        <w:numPr>
          <w:ilvl w:val="0"/>
          <w:numId w:val="5"/>
        </w:numPr>
      </w:pPr>
      <w:r w:rsidRPr="00296DB4">
        <w:t>czytelności menu;</w:t>
      </w:r>
    </w:p>
    <w:p w14:paraId="05CAC424" w14:textId="45C0F9E3" w:rsidR="00F33C48" w:rsidRPr="00296DB4" w:rsidRDefault="00F33C48" w:rsidP="00284D18">
      <w:pPr>
        <w:pStyle w:val="Akapitzlist"/>
        <w:numPr>
          <w:ilvl w:val="0"/>
          <w:numId w:val="5"/>
        </w:numPr>
      </w:pPr>
      <w:r w:rsidRPr="00296DB4">
        <w:t>czytelności nagłówków;</w:t>
      </w:r>
    </w:p>
    <w:p w14:paraId="1A3E1FFF" w14:textId="511B9B54" w:rsidR="008D79F0" w:rsidRPr="00296DB4" w:rsidRDefault="00F33C48" w:rsidP="00284D18">
      <w:pPr>
        <w:pStyle w:val="Akapitzlist"/>
        <w:numPr>
          <w:ilvl w:val="0"/>
          <w:numId w:val="5"/>
        </w:numPr>
      </w:pPr>
      <w:r w:rsidRPr="00296DB4">
        <w:t>prawidłowości opisów w tekstach alternatywnych linków i grafik;</w:t>
      </w:r>
    </w:p>
    <w:p w14:paraId="5C5E2971" w14:textId="66CA3889" w:rsidR="00F33C48" w:rsidRPr="00296DB4" w:rsidRDefault="00F33C48" w:rsidP="00284D18">
      <w:pPr>
        <w:pStyle w:val="Akapitzlist"/>
        <w:numPr>
          <w:ilvl w:val="1"/>
          <w:numId w:val="10"/>
        </w:numPr>
      </w:pPr>
      <w:r w:rsidRPr="00296DB4">
        <w:t xml:space="preserve">Sporządzenie raportu z audytu dostępności </w:t>
      </w:r>
      <w:r w:rsidR="00570E64" w:rsidRPr="00296DB4">
        <w:t>al.edu.pl</w:t>
      </w:r>
      <w:r w:rsidR="001C0FB0" w:rsidRPr="00296DB4">
        <w:t xml:space="preserve"> w zakresie spełnienia wymagań </w:t>
      </w:r>
      <w:r w:rsidR="005B7286" w:rsidRPr="00296DB4">
        <w:t xml:space="preserve">WCAG </w:t>
      </w:r>
      <w:r w:rsidR="00E50CA4" w:rsidRPr="00296DB4">
        <w:t>2.2</w:t>
      </w:r>
      <w:r w:rsidRPr="00296DB4">
        <w:t xml:space="preserve"> – każdy odnaleziony błąd, lub odstępstwo od standardu, p</w:t>
      </w:r>
      <w:r w:rsidR="001C0FB0" w:rsidRPr="00296DB4">
        <w:t xml:space="preserve">owinien zostać </w:t>
      </w:r>
      <w:r w:rsidRPr="00296DB4">
        <w:t>wskazany wraz z podaniem: nazwy i/ lub części ek</w:t>
      </w:r>
      <w:r w:rsidR="001C0FB0" w:rsidRPr="00296DB4">
        <w:t xml:space="preserve">ranu, w którym stwierdzono jego </w:t>
      </w:r>
      <w:r w:rsidRPr="00296DB4">
        <w:t>występowanie, szczegółów dotyczących użytej prz</w:t>
      </w:r>
      <w:r w:rsidR="001C0FB0" w:rsidRPr="00296DB4">
        <w:t xml:space="preserve">eglądarki, systemu operacyjnego </w:t>
      </w:r>
      <w:r w:rsidRPr="00296DB4">
        <w:t>oraz rodzaju sprzętu (komputer, tablet, smartfon), implikacji jaką powoduje dla os</w:t>
      </w:r>
      <w:r w:rsidR="001C0FB0" w:rsidRPr="00296DB4">
        <w:t xml:space="preserve">ób </w:t>
      </w:r>
      <w:r w:rsidRPr="00296DB4">
        <w:t>niepełnosprawnych, odniesieniem do odpow</w:t>
      </w:r>
      <w:r w:rsidR="005B7286" w:rsidRPr="00296DB4">
        <w:t>iedniej wytycznej WCAG 2.</w:t>
      </w:r>
      <w:r w:rsidR="00E50CA4" w:rsidRPr="00296DB4">
        <w:t>2</w:t>
      </w:r>
      <w:r w:rsidR="001C0FB0" w:rsidRPr="00296DB4">
        <w:t xml:space="preserve"> oraz </w:t>
      </w:r>
      <w:r w:rsidRPr="00296DB4">
        <w:t>zaklasyfikowaniem go do jednej z trzech katego</w:t>
      </w:r>
      <w:r w:rsidR="001C0FB0" w:rsidRPr="00296DB4">
        <w:t xml:space="preserve">rii, zgodnie z trzema poziomami </w:t>
      </w:r>
      <w:r w:rsidRPr="00296DB4">
        <w:t>dostępności, jako:</w:t>
      </w:r>
    </w:p>
    <w:p w14:paraId="2368A98C" w14:textId="75563277" w:rsidR="00F33C48" w:rsidRPr="00296DB4" w:rsidRDefault="00F33C48" w:rsidP="00284D18">
      <w:pPr>
        <w:pStyle w:val="Akapitzlist"/>
        <w:numPr>
          <w:ilvl w:val="0"/>
          <w:numId w:val="6"/>
        </w:numPr>
      </w:pPr>
      <w:r w:rsidRPr="00296DB4">
        <w:lastRenderedPageBreak/>
        <w:t>błąd krytyczny, konieczny do usunięcia, odnoszący się do poziomu A;</w:t>
      </w:r>
    </w:p>
    <w:p w14:paraId="013D1D01" w14:textId="0B2EFFEA" w:rsidR="00F33C48" w:rsidRPr="00296DB4" w:rsidRDefault="00F33C48" w:rsidP="00284D18">
      <w:pPr>
        <w:pStyle w:val="Akapitzlist"/>
        <w:numPr>
          <w:ilvl w:val="0"/>
          <w:numId w:val="6"/>
        </w:numPr>
      </w:pPr>
      <w:r w:rsidRPr="00296DB4">
        <w:t>odstępstwo od standardu, które powinno się usunąć, odnoszące się do poziomu AA;</w:t>
      </w:r>
    </w:p>
    <w:p w14:paraId="208E6B3C" w14:textId="279EB6BD" w:rsidR="00F33C48" w:rsidRPr="00296DB4" w:rsidRDefault="00F33C48" w:rsidP="00284D18">
      <w:pPr>
        <w:pStyle w:val="Akapitzlist"/>
        <w:numPr>
          <w:ilvl w:val="0"/>
          <w:numId w:val="6"/>
        </w:numPr>
      </w:pPr>
      <w:r w:rsidRPr="00296DB4">
        <w:t>odstępstwo od standardu, które można usunąć, odnoszące się do poziomu AAA.</w:t>
      </w:r>
    </w:p>
    <w:p w14:paraId="34D041F0" w14:textId="57AB18AB" w:rsidR="009F1AEA" w:rsidRPr="00296DB4" w:rsidRDefault="00F33C48" w:rsidP="00E954CD">
      <w:r w:rsidRPr="00296DB4">
        <w:t>Do każdego błędu lub odstępstwa od standa</w:t>
      </w:r>
      <w:r w:rsidR="005B7286" w:rsidRPr="00296DB4">
        <w:t>rdu WCAG 2.</w:t>
      </w:r>
      <w:r w:rsidR="00DA270C" w:rsidRPr="00296DB4">
        <w:t>2</w:t>
      </w:r>
      <w:r w:rsidR="001C0FB0" w:rsidRPr="00296DB4">
        <w:t xml:space="preserve"> Wykonawca zamieści </w:t>
      </w:r>
      <w:r w:rsidRPr="00296DB4">
        <w:t>rekomendację wskazującą sposób jego usunięcia, np.</w:t>
      </w:r>
      <w:r w:rsidR="001C0FB0" w:rsidRPr="00296DB4">
        <w:t xml:space="preserve"> poprzez zaproponow</w:t>
      </w:r>
      <w:r w:rsidR="00667AAC" w:rsidRPr="00296DB4">
        <w:t>anie sposobu poprawy kodu HTML.</w:t>
      </w:r>
    </w:p>
    <w:p w14:paraId="347E74A9" w14:textId="7513D4B0" w:rsidR="00F33C48" w:rsidRPr="00296DB4" w:rsidRDefault="00F33C48" w:rsidP="00284D18">
      <w:pPr>
        <w:pStyle w:val="Akapitzlist"/>
        <w:numPr>
          <w:ilvl w:val="0"/>
          <w:numId w:val="9"/>
        </w:numPr>
      </w:pPr>
      <w:r w:rsidRPr="00296DB4">
        <w:t>Zamawiający wymaga, aby badanie specjalistyczne, o którym</w:t>
      </w:r>
      <w:r w:rsidR="00B05904" w:rsidRPr="00296DB4">
        <w:t xml:space="preserve"> mowa w pkt 2 </w:t>
      </w:r>
      <w:proofErr w:type="spellStart"/>
      <w:r w:rsidR="00B05904" w:rsidRPr="00296DB4">
        <w:t>ppkt</w:t>
      </w:r>
      <w:proofErr w:type="spellEnd"/>
      <w:r w:rsidR="00B05904" w:rsidRPr="00296DB4">
        <w:t xml:space="preserve"> </w:t>
      </w:r>
      <w:r w:rsidR="006F701B" w:rsidRPr="00296DB4">
        <w:t>2</w:t>
      </w:r>
      <w:r w:rsidR="00B05904" w:rsidRPr="00296DB4">
        <w:t xml:space="preserve">, </w:t>
      </w:r>
      <w:r w:rsidRPr="00296DB4">
        <w:t>przeprowadzone zostało przez co najmniej 2 eks</w:t>
      </w:r>
      <w:r w:rsidR="00B05904" w:rsidRPr="00296DB4">
        <w:t>pertów –</w:t>
      </w:r>
      <w:r w:rsidR="00F26B65" w:rsidRPr="00296DB4">
        <w:rPr>
          <w:strike/>
        </w:rPr>
        <w:t xml:space="preserve"> </w:t>
      </w:r>
      <w:r w:rsidR="00B05904" w:rsidRPr="00296DB4">
        <w:t xml:space="preserve">z zakresu </w:t>
      </w:r>
      <w:r w:rsidRPr="00296DB4">
        <w:t>programowania i dostępności, zapewnionych pr</w:t>
      </w:r>
      <w:r w:rsidR="00B05904" w:rsidRPr="00296DB4">
        <w:t xml:space="preserve">zez Wykonawcę, posiadających co </w:t>
      </w:r>
      <w:r w:rsidRPr="00296DB4">
        <w:t xml:space="preserve">najmniej </w:t>
      </w:r>
      <w:r w:rsidR="007F2C32" w:rsidRPr="00296DB4">
        <w:t>3</w:t>
      </w:r>
      <w:r w:rsidRPr="00296DB4">
        <w:t xml:space="preserve"> letnie doświadczenie w zakresie weryfikacji stron i aplikacji interne</w:t>
      </w:r>
      <w:r w:rsidR="00B05904" w:rsidRPr="00296DB4">
        <w:t xml:space="preserve">towych pod </w:t>
      </w:r>
      <w:r w:rsidRPr="00296DB4">
        <w:t>kątem spełn</w:t>
      </w:r>
      <w:r w:rsidR="006F701B" w:rsidRPr="00296DB4">
        <w:t>ienia warunków WCAG w wersji 2.</w:t>
      </w:r>
      <w:r w:rsidR="00DA270C" w:rsidRPr="00296DB4">
        <w:t>2</w:t>
      </w:r>
      <w:r w:rsidR="007F2C32" w:rsidRPr="00296DB4">
        <w:t xml:space="preserve"> lub posiadających oficjalny certyfikat potwierdzający kwalifikacje.</w:t>
      </w:r>
    </w:p>
    <w:p w14:paraId="724E38C4" w14:textId="529164BA" w:rsidR="00F33C48" w:rsidRPr="00296DB4" w:rsidRDefault="00F33C48" w:rsidP="00284D18">
      <w:pPr>
        <w:pStyle w:val="Akapitzlist"/>
        <w:numPr>
          <w:ilvl w:val="0"/>
          <w:numId w:val="9"/>
        </w:numPr>
      </w:pPr>
      <w:r w:rsidRPr="00296DB4">
        <w:t xml:space="preserve">Zamawiający wymaga, aby badanie </w:t>
      </w:r>
      <w:proofErr w:type="spellStart"/>
      <w:r w:rsidRPr="00296DB4">
        <w:t>user</w:t>
      </w:r>
      <w:proofErr w:type="spellEnd"/>
      <w:r w:rsidRPr="00296DB4">
        <w:t xml:space="preserve"> </w:t>
      </w:r>
      <w:proofErr w:type="spellStart"/>
      <w:r w:rsidRPr="00296DB4">
        <w:t>experience</w:t>
      </w:r>
      <w:proofErr w:type="spellEnd"/>
      <w:r w:rsidR="00B05904" w:rsidRPr="00296DB4">
        <w:t xml:space="preserve">, o którym </w:t>
      </w:r>
      <w:r w:rsidR="006F701B" w:rsidRPr="00296DB4">
        <w:t xml:space="preserve">mowa w pkt 2 </w:t>
      </w:r>
      <w:proofErr w:type="spellStart"/>
      <w:r w:rsidR="006F701B" w:rsidRPr="00296DB4">
        <w:t>ppkt</w:t>
      </w:r>
      <w:proofErr w:type="spellEnd"/>
      <w:r w:rsidR="006F701B" w:rsidRPr="00296DB4">
        <w:t xml:space="preserve"> 3</w:t>
      </w:r>
      <w:r w:rsidR="00B05904" w:rsidRPr="00296DB4">
        <w:t xml:space="preserve">, </w:t>
      </w:r>
      <w:r w:rsidRPr="00296DB4">
        <w:t>zrealizowane zostało przez co najmniej 4 użytkownikó</w:t>
      </w:r>
      <w:r w:rsidR="00B05904" w:rsidRPr="00296DB4">
        <w:t xml:space="preserve">w zapewnionych przez Wykonawcę, </w:t>
      </w:r>
      <w:r w:rsidRPr="00296DB4">
        <w:t>w tym co najmniej przez:</w:t>
      </w:r>
    </w:p>
    <w:p w14:paraId="3DE4B6B2" w14:textId="04732BF4" w:rsidR="00F33C48" w:rsidRPr="00296DB4" w:rsidRDefault="00F33C48" w:rsidP="00284D18">
      <w:pPr>
        <w:pStyle w:val="Akapitzlist"/>
        <w:numPr>
          <w:ilvl w:val="0"/>
          <w:numId w:val="7"/>
        </w:numPr>
      </w:pPr>
      <w:r w:rsidRPr="00296DB4">
        <w:t>2 osoby posiadające orzeczenie o niepełnos</w:t>
      </w:r>
      <w:r w:rsidR="00B05904" w:rsidRPr="00296DB4">
        <w:t xml:space="preserve">prawności (tj. osoby niewidome, </w:t>
      </w:r>
      <w:r w:rsidRPr="00296DB4">
        <w:t>niedowidzące, głuche, z dysfunkcją narządu ruchu w zakresie kończyn górnych);</w:t>
      </w:r>
    </w:p>
    <w:p w14:paraId="0A4193B9" w14:textId="7E3305FC" w:rsidR="00F33C48" w:rsidRPr="00296DB4" w:rsidRDefault="00F33C48" w:rsidP="00284D18">
      <w:pPr>
        <w:pStyle w:val="Akapitzlist"/>
        <w:numPr>
          <w:ilvl w:val="0"/>
          <w:numId w:val="7"/>
        </w:numPr>
      </w:pPr>
      <w:r w:rsidRPr="00296DB4">
        <w:t>1 osobę mającą zdiagnozowaną przyczyn</w:t>
      </w:r>
      <w:r w:rsidR="00B05904" w:rsidRPr="00296DB4">
        <w:t xml:space="preserve">ę zaburzeń podstawowych funkcji </w:t>
      </w:r>
      <w:r w:rsidRPr="00296DB4">
        <w:t>poznawczych (np. osoby z dysleksją, dysgrafią);</w:t>
      </w:r>
    </w:p>
    <w:p w14:paraId="10CCD782" w14:textId="1176BB91" w:rsidR="00F33C48" w:rsidRPr="00296DB4" w:rsidRDefault="00F33C48" w:rsidP="00284D18">
      <w:pPr>
        <w:pStyle w:val="Akapitzlist"/>
        <w:numPr>
          <w:ilvl w:val="0"/>
          <w:numId w:val="7"/>
        </w:numPr>
      </w:pPr>
      <w:r w:rsidRPr="00296DB4">
        <w:t>1 osobę będącą w odpowiedniej grupie wiekowej (np. osoby w wieku 50+).</w:t>
      </w:r>
    </w:p>
    <w:p w14:paraId="1D744BA7" w14:textId="77777777" w:rsidR="00F33C48" w:rsidRPr="00296DB4" w:rsidRDefault="00F33C48" w:rsidP="00E954CD">
      <w:r w:rsidRPr="00296DB4">
        <w:t>Zamawiający wymaga, aby osoby niewidome pos</w:t>
      </w:r>
      <w:r w:rsidR="00B05904" w:rsidRPr="00296DB4">
        <w:t xml:space="preserve">ługiwały się przynajmniej dwoma </w:t>
      </w:r>
      <w:r w:rsidRPr="00296DB4">
        <w:t>rodzajami programów czytających, osoby niedowidzą</w:t>
      </w:r>
      <w:r w:rsidR="00B05904" w:rsidRPr="00296DB4">
        <w:t xml:space="preserve">ce posługiwały się przynajmniej </w:t>
      </w:r>
      <w:r w:rsidRPr="00296DB4">
        <w:t>dwoma programami powiększającymi, a osoby z dysf</w:t>
      </w:r>
      <w:r w:rsidR="00B05904" w:rsidRPr="00296DB4">
        <w:t xml:space="preserve">unkcją ruchu w zakresie kończyn </w:t>
      </w:r>
      <w:r w:rsidRPr="00296DB4">
        <w:t>górnych obsługiwały system wyłącznie przy pomocy klawiatury (tj. bez użycia myszki lub</w:t>
      </w:r>
      <w:r w:rsidR="00B05904" w:rsidRPr="00296DB4">
        <w:t xml:space="preserve"> </w:t>
      </w:r>
      <w:r w:rsidRPr="00296DB4">
        <w:t>innych zewnętrznych urządzeń nawigacyjnych). Pożądane jest, aby osoby z dysfunkcją</w:t>
      </w:r>
      <w:r w:rsidR="00B05904" w:rsidRPr="00296DB4">
        <w:t xml:space="preserve"> </w:t>
      </w:r>
      <w:r w:rsidRPr="00296DB4">
        <w:t>ruchu posługiwały się również manipulatorami alternaty</w:t>
      </w:r>
      <w:r w:rsidR="00B05904" w:rsidRPr="00296DB4">
        <w:t xml:space="preserve">wnymi np. pałeczkami trzymanymi </w:t>
      </w:r>
      <w:r w:rsidRPr="00296DB4">
        <w:t>w ustach, manipulatorami nagłownymi, rejestratorami ru</w:t>
      </w:r>
      <w:r w:rsidR="00B05904" w:rsidRPr="00296DB4">
        <w:t xml:space="preserve">chu gałek ocznych lub nawigacją </w:t>
      </w:r>
      <w:r w:rsidRPr="00296DB4">
        <w:t>poprzez głos.</w:t>
      </w:r>
    </w:p>
    <w:p w14:paraId="11870CB4" w14:textId="7D06E92B" w:rsidR="00F33C48" w:rsidRPr="00296DB4" w:rsidRDefault="00F33C48" w:rsidP="00284D18">
      <w:pPr>
        <w:pStyle w:val="Akapitzlist"/>
        <w:numPr>
          <w:ilvl w:val="0"/>
          <w:numId w:val="9"/>
        </w:numPr>
      </w:pPr>
      <w:r w:rsidRPr="00296DB4">
        <w:t>Wykonawca we współpracy z Zamawiając</w:t>
      </w:r>
      <w:r w:rsidR="00B05904" w:rsidRPr="00296DB4">
        <w:t>ym dokona wytypowania podstron/</w:t>
      </w:r>
      <w:r w:rsidRPr="00296DB4">
        <w:t>eleme</w:t>
      </w:r>
      <w:r w:rsidR="00B05904" w:rsidRPr="00296DB4">
        <w:t xml:space="preserve">ntów/ </w:t>
      </w:r>
      <w:r w:rsidRPr="00296DB4">
        <w:t xml:space="preserve">funkcjonalności </w:t>
      </w:r>
      <w:r w:rsidR="009D0A8F" w:rsidRPr="00296DB4">
        <w:t>al</w:t>
      </w:r>
      <w:r w:rsidR="00AA08EC" w:rsidRPr="00296DB4">
        <w:t>.edu.pl</w:t>
      </w:r>
      <w:r w:rsidRPr="00296DB4">
        <w:t>, które objęte zostaną a</w:t>
      </w:r>
      <w:r w:rsidR="00B05904" w:rsidRPr="00296DB4">
        <w:t xml:space="preserve">udytem, przy czym obejmie on co </w:t>
      </w:r>
      <w:r w:rsidRPr="00296DB4">
        <w:t>najmniej:</w:t>
      </w:r>
    </w:p>
    <w:p w14:paraId="53384C48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</w:t>
      </w:r>
    </w:p>
    <w:p w14:paraId="15655BF3" w14:textId="68C05E36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</w:t>
      </w:r>
      <w:proofErr w:type="spellStart"/>
      <w:r w:rsidRPr="00296DB4">
        <w:t>zamowienia</w:t>
      </w:r>
      <w:proofErr w:type="spellEnd"/>
      <w:r w:rsidRPr="00296DB4">
        <w:t>-publiczne</w:t>
      </w:r>
    </w:p>
    <w:p w14:paraId="36EB2B8A" w14:textId="312E5553" w:rsidR="00853018" w:rsidRPr="00296DB4" w:rsidRDefault="00853018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al.edu.pl/biblioteka</w:t>
      </w:r>
    </w:p>
    <w:p w14:paraId="6C8528A1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al.edu.pl/kandydaci</w:t>
      </w:r>
    </w:p>
    <w:p w14:paraId="4B74A0E6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al.edu.pl/studenci</w:t>
      </w:r>
    </w:p>
    <w:p w14:paraId="544D6D7F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al.edu.pl/pracownicy</w:t>
      </w:r>
    </w:p>
    <w:p w14:paraId="396E8817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</w:t>
      </w:r>
      <w:proofErr w:type="spellStart"/>
      <w:r w:rsidRPr="00296DB4">
        <w:t>dwz</w:t>
      </w:r>
      <w:proofErr w:type="spellEnd"/>
    </w:p>
    <w:p w14:paraId="6067A3DC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</w:t>
      </w:r>
      <w:proofErr w:type="spellStart"/>
      <w:r w:rsidRPr="00296DB4">
        <w:t>dostepnaplus</w:t>
      </w:r>
      <w:proofErr w:type="spellEnd"/>
    </w:p>
    <w:p w14:paraId="03061008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lastRenderedPageBreak/>
        <w:t>al.edu.pl/</w:t>
      </w:r>
      <w:proofErr w:type="spellStart"/>
      <w:r w:rsidRPr="00296DB4">
        <w:t>kpo</w:t>
      </w:r>
      <w:proofErr w:type="spellEnd"/>
    </w:p>
    <w:p w14:paraId="1AA1C5F8" w14:textId="4D551FC5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</w:t>
      </w:r>
      <w:proofErr w:type="spellStart"/>
      <w:r w:rsidRPr="00296DB4">
        <w:t>dzienabsolwenta</w:t>
      </w:r>
      <w:proofErr w:type="spellEnd"/>
    </w:p>
    <w:p w14:paraId="2FE01DB4" w14:textId="77777777" w:rsidR="00853018" w:rsidRPr="00296DB4" w:rsidRDefault="00853018" w:rsidP="00853018">
      <w:pPr>
        <w:pStyle w:val="Akapitzlist"/>
        <w:numPr>
          <w:ilvl w:val="0"/>
          <w:numId w:val="3"/>
        </w:numPr>
      </w:pPr>
      <w:r w:rsidRPr="00296DB4">
        <w:t>al.edu.pl/sowa</w:t>
      </w:r>
    </w:p>
    <w:p w14:paraId="38C73A15" w14:textId="6F7D7546" w:rsidR="002F460F" w:rsidRPr="00296DB4" w:rsidRDefault="002F460F" w:rsidP="00853018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</w:t>
      </w:r>
      <w:proofErr w:type="spellStart"/>
      <w:r w:rsidR="00853018" w:rsidRPr="00296DB4">
        <w:t>ds</w:t>
      </w:r>
      <w:proofErr w:type="spellEnd"/>
    </w:p>
    <w:p w14:paraId="31B02365" w14:textId="77777777" w:rsidR="00853018" w:rsidRPr="00296DB4" w:rsidRDefault="00853018" w:rsidP="00853018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al.edu.pl/en</w:t>
      </w:r>
    </w:p>
    <w:p w14:paraId="4D4AB374" w14:textId="77777777" w:rsidR="00853018" w:rsidRPr="00296DB4" w:rsidRDefault="00853018" w:rsidP="00853018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</w:t>
      </w:r>
      <w:proofErr w:type="spellStart"/>
      <w:r w:rsidRPr="00296DB4">
        <w:t>bip</w:t>
      </w:r>
      <w:proofErr w:type="spellEnd"/>
    </w:p>
    <w:p w14:paraId="45D35A35" w14:textId="77777777" w:rsidR="00853018" w:rsidRPr="00296DB4" w:rsidRDefault="00853018" w:rsidP="00853018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</w:t>
      </w:r>
      <w:proofErr w:type="spellStart"/>
      <w:r w:rsidRPr="00296DB4">
        <w:t>wnz</w:t>
      </w:r>
      <w:proofErr w:type="spellEnd"/>
    </w:p>
    <w:p w14:paraId="583880C3" w14:textId="77777777" w:rsidR="00853018" w:rsidRPr="00296DB4" w:rsidRDefault="00853018" w:rsidP="00853018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</w:t>
      </w:r>
      <w:proofErr w:type="spellStart"/>
      <w:r w:rsidRPr="00296DB4">
        <w:t>wnsh</w:t>
      </w:r>
      <w:proofErr w:type="spellEnd"/>
    </w:p>
    <w:p w14:paraId="0AB0AD0F" w14:textId="77777777" w:rsidR="00853018" w:rsidRPr="00296DB4" w:rsidRDefault="00853018" w:rsidP="00853018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</w:t>
      </w:r>
      <w:proofErr w:type="spellStart"/>
      <w:r w:rsidRPr="00296DB4">
        <w:t>wpa</w:t>
      </w:r>
      <w:proofErr w:type="spellEnd"/>
    </w:p>
    <w:p w14:paraId="6F227F6C" w14:textId="20390B64" w:rsidR="00853018" w:rsidRPr="00296DB4" w:rsidRDefault="00853018" w:rsidP="00675B6A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al.edu.pl/</w:t>
      </w:r>
      <w:proofErr w:type="spellStart"/>
      <w:r w:rsidRPr="00296DB4">
        <w:t>wnit</w:t>
      </w:r>
      <w:proofErr w:type="spellEnd"/>
    </w:p>
    <w:p w14:paraId="4E0BFDFC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facebook.com/</w:t>
      </w:r>
      <w:proofErr w:type="spellStart"/>
      <w:r w:rsidRPr="00296DB4">
        <w:t>akademialomzynska</w:t>
      </w:r>
      <w:proofErr w:type="spellEnd"/>
    </w:p>
    <w:p w14:paraId="3D1B9BE4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facebook.com/</w:t>
      </w:r>
      <w:proofErr w:type="spellStart"/>
      <w:r w:rsidRPr="00296DB4">
        <w:t>akademialomzynska.wnz</w:t>
      </w:r>
      <w:proofErr w:type="spellEnd"/>
    </w:p>
    <w:p w14:paraId="67385085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facebook.com/</w:t>
      </w:r>
      <w:proofErr w:type="spellStart"/>
      <w:r w:rsidRPr="00296DB4">
        <w:t>akademialomzynska.wnsh</w:t>
      </w:r>
      <w:proofErr w:type="spellEnd"/>
    </w:p>
    <w:p w14:paraId="7675DE39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facebook.com/</w:t>
      </w:r>
      <w:proofErr w:type="spellStart"/>
      <w:r w:rsidRPr="00296DB4">
        <w:t>akademialomzynska.wnit</w:t>
      </w:r>
      <w:proofErr w:type="spellEnd"/>
    </w:p>
    <w:p w14:paraId="22DB1DBB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facebook.com/</w:t>
      </w:r>
      <w:proofErr w:type="spellStart"/>
      <w:r w:rsidRPr="00296DB4">
        <w:t>akademialomzynska.wpa</w:t>
      </w:r>
      <w:proofErr w:type="spellEnd"/>
    </w:p>
    <w:p w14:paraId="4B104D80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facebook.com/</w:t>
      </w:r>
      <w:proofErr w:type="spellStart"/>
      <w:r w:rsidRPr="00296DB4">
        <w:t>akademialomzynska.erasmus</w:t>
      </w:r>
      <w:proofErr w:type="spellEnd"/>
    </w:p>
    <w:p w14:paraId="4B79F4AD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facebook.com/</w:t>
      </w:r>
      <w:proofErr w:type="spellStart"/>
      <w:r w:rsidRPr="00296DB4">
        <w:t>akademialomzynska.sowa</w:t>
      </w:r>
      <w:proofErr w:type="spellEnd"/>
    </w:p>
    <w:p w14:paraId="20AC6E23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facebook.com/</w:t>
      </w:r>
      <w:proofErr w:type="spellStart"/>
      <w:r w:rsidRPr="00296DB4">
        <w:t>akademialomzynska.samorzad</w:t>
      </w:r>
      <w:proofErr w:type="spellEnd"/>
    </w:p>
    <w:p w14:paraId="1209EDAA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instagram.com/</w:t>
      </w:r>
      <w:proofErr w:type="spellStart"/>
      <w:r w:rsidRPr="00296DB4">
        <w:t>akademialomzynska</w:t>
      </w:r>
      <w:proofErr w:type="spellEnd"/>
    </w:p>
    <w:p w14:paraId="73AB3A5D" w14:textId="77777777" w:rsidR="002F460F" w:rsidRPr="00296DB4" w:rsidRDefault="002F460F" w:rsidP="002F460F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youtube.com/@akademialomzynska</w:t>
      </w:r>
    </w:p>
    <w:p w14:paraId="7F947912" w14:textId="3FABF804" w:rsidR="00931F9F" w:rsidRPr="00296DB4" w:rsidRDefault="00931F9F" w:rsidP="00853018">
      <w:pPr>
        <w:pStyle w:val="Akapitzlist"/>
        <w:numPr>
          <w:ilvl w:val="0"/>
          <w:numId w:val="3"/>
        </w:numPr>
        <w:spacing w:after="160"/>
        <w:jc w:val="left"/>
      </w:pPr>
      <w:r w:rsidRPr="00296DB4">
        <w:t>deklaracja dostępności strony głównej al.edu.pl</w:t>
      </w:r>
    </w:p>
    <w:p w14:paraId="7EE67FD3" w14:textId="3AF1991B" w:rsidR="006F701B" w:rsidRPr="00296DB4" w:rsidRDefault="006F701B" w:rsidP="00E954CD">
      <w:r w:rsidRPr="00296DB4">
        <w:t xml:space="preserve">Badanie dostępności cyfrowej ma obejmować całą zawartość wyselekcjonowanych podstron strony </w:t>
      </w:r>
      <w:r w:rsidR="00570E64" w:rsidRPr="00296DB4">
        <w:t>al.edu.pl</w:t>
      </w:r>
      <w:r w:rsidRPr="00296DB4">
        <w:t xml:space="preserve"> obejmującą wszelkie elementy, włącznie z zawartymi na tych podstronach dokumentami.</w:t>
      </w:r>
    </w:p>
    <w:p w14:paraId="28F2C78D" w14:textId="22CBA248" w:rsidR="00583639" w:rsidRPr="00296DB4" w:rsidRDefault="008D4F6D" w:rsidP="00284D18">
      <w:pPr>
        <w:pStyle w:val="Akapitzlist"/>
        <w:numPr>
          <w:ilvl w:val="0"/>
          <w:numId w:val="9"/>
        </w:numPr>
      </w:pPr>
      <w:r w:rsidRPr="00296DB4">
        <w:t xml:space="preserve">Podczas selekcji podstron stron poddawanych badaniu Wykonawca zobowiązany jest do uwzględnienia faktu, iż na podmioty publiczne nałożony jest bezwzględny obowiązek utrzymania pełnej dostępności cyfrowej: Biuletynów Informacji Publicznej, danych teleadresowych, narzędzi służących do kontaktu z podmiotem publicznym, nawigacji, deklaracji dostępności strony internetowej lub aplikacji mobilnej podmiotu publicznego,  informacji dotyczących sytuacji kryzysowej, informacji związanych z bezpieczeństwem publicznym, publikowanych przez podmiot publiczny, dokumentów urzędowych oraz wzorów umów lub wzorów innych dokumentów przeznaczonych do zaciągania zobowiązań cywilnoprawnych. Konieczne jest więc, aby w/w elementy strony </w:t>
      </w:r>
      <w:r w:rsidR="00570E64" w:rsidRPr="00296DB4">
        <w:t>al.edu.pl</w:t>
      </w:r>
      <w:r w:rsidRPr="00296DB4">
        <w:t xml:space="preserve"> zostały objęte audytem oraz wyszczególnione w „Raporcie z audytu dostępności </w:t>
      </w:r>
      <w:r w:rsidR="00FC4674" w:rsidRPr="00296DB4">
        <w:t>Akademii Łomżyńskiej</w:t>
      </w:r>
      <w:r w:rsidRPr="00296DB4">
        <w:t>”</w:t>
      </w:r>
    </w:p>
    <w:p w14:paraId="04DE26E5" w14:textId="790E969B" w:rsidR="00F33C48" w:rsidRPr="00296DB4" w:rsidRDefault="00AA08EC" w:rsidP="00284D18">
      <w:pPr>
        <w:pStyle w:val="Akapitzlist"/>
        <w:numPr>
          <w:ilvl w:val="0"/>
          <w:numId w:val="9"/>
        </w:numPr>
      </w:pPr>
      <w:r w:rsidRPr="00296DB4">
        <w:t>„Raport</w:t>
      </w:r>
      <w:r w:rsidR="00F33C48" w:rsidRPr="00296DB4">
        <w:t xml:space="preserve"> z audytu dostępności </w:t>
      </w:r>
      <w:r w:rsidR="00DA270C" w:rsidRPr="00296DB4">
        <w:t>Akademii Łomżyńskiej</w:t>
      </w:r>
      <w:r w:rsidR="00F33C48" w:rsidRPr="00296DB4">
        <w:t>” W</w:t>
      </w:r>
      <w:r w:rsidR="00B05904" w:rsidRPr="00296DB4">
        <w:t xml:space="preserve">ykonawca przekaże Zamawiającemu </w:t>
      </w:r>
      <w:r w:rsidR="00F33C48" w:rsidRPr="00296DB4">
        <w:t>w dwóch egzemplarzach</w:t>
      </w:r>
      <w:r w:rsidR="005639FD" w:rsidRPr="00296DB4">
        <w:t>: po jednym egzemplarzu</w:t>
      </w:r>
      <w:r w:rsidR="00F33C48" w:rsidRPr="00296DB4">
        <w:t xml:space="preserve"> w postaci pap</w:t>
      </w:r>
      <w:r w:rsidRPr="00296DB4">
        <w:t xml:space="preserve">ierowej oraz </w:t>
      </w:r>
      <w:r w:rsidR="00B05904" w:rsidRPr="00296DB4">
        <w:t xml:space="preserve">w postaci </w:t>
      </w:r>
      <w:r w:rsidR="00F33C48" w:rsidRPr="00296DB4">
        <w:t>elektronicznej. Zamawiający wymag</w:t>
      </w:r>
      <w:r w:rsidR="00B05904" w:rsidRPr="00296DB4">
        <w:t xml:space="preserve">a, aby dokumenty dostarczone </w:t>
      </w:r>
      <w:r w:rsidR="00F26B65" w:rsidRPr="00296DB4">
        <w:t xml:space="preserve">w formie elektronicznej </w:t>
      </w:r>
      <w:r w:rsidR="00F33C48" w:rsidRPr="00296DB4">
        <w:t>były w edytowalnym formacie e</w:t>
      </w:r>
      <w:r w:rsidR="00B05904" w:rsidRPr="00296DB4">
        <w:t>lektronicznym, np. .</w:t>
      </w:r>
      <w:proofErr w:type="spellStart"/>
      <w:r w:rsidR="00B05904" w:rsidRPr="00296DB4">
        <w:t>doc</w:t>
      </w:r>
      <w:proofErr w:type="spellEnd"/>
      <w:r w:rsidR="00B05904" w:rsidRPr="00296DB4">
        <w:t>/ .</w:t>
      </w:r>
      <w:proofErr w:type="spellStart"/>
      <w:r w:rsidR="00B05904" w:rsidRPr="00296DB4">
        <w:t>docx</w:t>
      </w:r>
      <w:proofErr w:type="spellEnd"/>
      <w:r w:rsidR="00B05904" w:rsidRPr="00296DB4">
        <w:t xml:space="preserve">, </w:t>
      </w:r>
      <w:r w:rsidR="00F33C48" w:rsidRPr="00296DB4">
        <w:t>umożliwiającym swobodne przeszukiwanie treści.</w:t>
      </w:r>
    </w:p>
    <w:p w14:paraId="616E663C" w14:textId="69FBB6AD" w:rsidR="00E954CD" w:rsidRPr="00296DB4" w:rsidRDefault="00F33C48" w:rsidP="00284D18">
      <w:pPr>
        <w:pStyle w:val="Akapitzlist"/>
        <w:numPr>
          <w:ilvl w:val="0"/>
          <w:numId w:val="9"/>
        </w:numPr>
      </w:pPr>
      <w:r w:rsidRPr="00296DB4">
        <w:lastRenderedPageBreak/>
        <w:t>Wykonawca zobowiązany będzie do przeniesienia n</w:t>
      </w:r>
      <w:r w:rsidR="00B05904" w:rsidRPr="00296DB4">
        <w:t xml:space="preserve">a Zamawiającego autorskich praw </w:t>
      </w:r>
      <w:r w:rsidR="005639FD" w:rsidRPr="00296DB4">
        <w:t>majątkowych do „Raportu</w:t>
      </w:r>
      <w:r w:rsidRPr="00296DB4">
        <w:t xml:space="preserve"> z audytu dostępności </w:t>
      </w:r>
      <w:r w:rsidR="005639FD" w:rsidRPr="00296DB4">
        <w:t xml:space="preserve">cyfrowej </w:t>
      </w:r>
      <w:r w:rsidR="00DA270C" w:rsidRPr="00296DB4">
        <w:t>Akademii Łomżyńskiej</w:t>
      </w:r>
      <w:r w:rsidR="00B05904" w:rsidRPr="00296DB4">
        <w:t xml:space="preserve">” oraz nośników, na których </w:t>
      </w:r>
      <w:r w:rsidRPr="00296DB4">
        <w:t>dokumenty te zostaną utrwalone i przekazane Zamawiającemu.</w:t>
      </w:r>
    </w:p>
    <w:p w14:paraId="386EC590" w14:textId="7391F529" w:rsidR="00F33C48" w:rsidRPr="00296DB4" w:rsidRDefault="005056C4" w:rsidP="005056C4">
      <w:pPr>
        <w:pStyle w:val="Nagwek2"/>
      </w:pPr>
      <w:r w:rsidRPr="00296DB4">
        <w:t>III. Istotne postanowienia umowy</w:t>
      </w:r>
    </w:p>
    <w:p w14:paraId="0C9DF843" w14:textId="6C618A5B" w:rsidR="00F33C48" w:rsidRPr="00296DB4" w:rsidRDefault="00F33C48" w:rsidP="00284D18">
      <w:pPr>
        <w:pStyle w:val="Akapitzlist"/>
        <w:numPr>
          <w:ilvl w:val="0"/>
          <w:numId w:val="12"/>
        </w:numPr>
      </w:pPr>
      <w:r w:rsidRPr="00296DB4">
        <w:t>Termin realizacji:</w:t>
      </w:r>
    </w:p>
    <w:p w14:paraId="2349D8BD" w14:textId="29210C6B" w:rsidR="00F33C48" w:rsidRPr="00296DB4" w:rsidRDefault="00F33C48" w:rsidP="00E954CD">
      <w:r w:rsidRPr="00296DB4">
        <w:t xml:space="preserve">Wykonawca zobowiązany będzie wykonać usługę audytu dostępności </w:t>
      </w:r>
      <w:r w:rsidR="00DA270C" w:rsidRPr="00296DB4">
        <w:t>cyfrowej Akademii Łomżyńskiej</w:t>
      </w:r>
      <w:r w:rsidR="00B05904" w:rsidRPr="00296DB4">
        <w:t xml:space="preserve"> dla </w:t>
      </w:r>
      <w:r w:rsidRPr="00296DB4">
        <w:t>osób niepełnosprawnych i innych na</w:t>
      </w:r>
      <w:r w:rsidR="00B05904" w:rsidRPr="00296DB4">
        <w:t xml:space="preserve">rażonych na wykluczenie cyfrowe </w:t>
      </w:r>
      <w:r w:rsidRPr="00296DB4">
        <w:t>w zakresie spełnienia wymagań WCAG w wersji 2.</w:t>
      </w:r>
      <w:r w:rsidR="00DA270C" w:rsidRPr="00296DB4">
        <w:t>2</w:t>
      </w:r>
      <w:r w:rsidRPr="00296DB4">
        <w:t xml:space="preserve"> wraz</w:t>
      </w:r>
      <w:r w:rsidR="00B05904" w:rsidRPr="00296DB4">
        <w:t xml:space="preserve"> z opracowaniem raportu, </w:t>
      </w:r>
      <w:r w:rsidRPr="00296DB4">
        <w:t xml:space="preserve">w terminie </w:t>
      </w:r>
      <w:r w:rsidR="00C54EC4" w:rsidRPr="00296DB4">
        <w:t>28</w:t>
      </w:r>
      <w:r w:rsidR="00CA64BD" w:rsidRPr="00296DB4">
        <w:t xml:space="preserve"> dni</w:t>
      </w:r>
      <w:r w:rsidRPr="00296DB4">
        <w:t>, licząc od dnia zawarcia umowy (termin zostanie doprecyzowany</w:t>
      </w:r>
      <w:r w:rsidR="00B05904" w:rsidRPr="00296DB4">
        <w:t xml:space="preserve"> </w:t>
      </w:r>
      <w:r w:rsidRPr="00296DB4">
        <w:t>w wyniku rozstrzygnięcia postępowania na podstawie oferty Wykonawcy).</w:t>
      </w:r>
    </w:p>
    <w:p w14:paraId="630C9F8D" w14:textId="5AC33518" w:rsidR="00F33C48" w:rsidRPr="00296DB4" w:rsidRDefault="00F33C48" w:rsidP="00284D18">
      <w:pPr>
        <w:pStyle w:val="Akapitzlist"/>
        <w:numPr>
          <w:ilvl w:val="0"/>
          <w:numId w:val="12"/>
        </w:numPr>
      </w:pPr>
      <w:r w:rsidRPr="00296DB4">
        <w:t>Odbiór przedmiotu umowy:</w:t>
      </w:r>
    </w:p>
    <w:p w14:paraId="7651DCB4" w14:textId="3B487927" w:rsidR="00F33C48" w:rsidRPr="00296DB4" w:rsidRDefault="00F33C48" w:rsidP="00284D18">
      <w:pPr>
        <w:pStyle w:val="Akapitzlist"/>
        <w:numPr>
          <w:ilvl w:val="2"/>
          <w:numId w:val="13"/>
        </w:numPr>
      </w:pPr>
      <w:r w:rsidRPr="00296DB4">
        <w:t>podstawą rozpoczęcia procedury odbioru je</w:t>
      </w:r>
      <w:r w:rsidR="00B05904" w:rsidRPr="00296DB4">
        <w:t>st dostarczenie przez Wykonawcę</w:t>
      </w:r>
      <w:r w:rsidR="00A23656" w:rsidRPr="00296DB4">
        <w:t xml:space="preserve"> „Raportu z audytu </w:t>
      </w:r>
      <w:r w:rsidRPr="00296DB4">
        <w:t xml:space="preserve">dostępności </w:t>
      </w:r>
      <w:r w:rsidR="00A23656" w:rsidRPr="00296DB4">
        <w:t xml:space="preserve">cyfrowej </w:t>
      </w:r>
      <w:r w:rsidR="00DA270C" w:rsidRPr="00296DB4">
        <w:t>Akademii Łomżyńskiej</w:t>
      </w:r>
      <w:r w:rsidRPr="00296DB4">
        <w:t>”</w:t>
      </w:r>
      <w:r w:rsidR="00A23656" w:rsidRPr="00296DB4">
        <w:t xml:space="preserve"> wraz z protokołem odbioru</w:t>
      </w:r>
      <w:r w:rsidRPr="00296DB4">
        <w:t xml:space="preserve">; </w:t>
      </w:r>
    </w:p>
    <w:p w14:paraId="3D8CE897" w14:textId="638DA0C6" w:rsidR="00F33C48" w:rsidRPr="00296DB4" w:rsidRDefault="00F33C48" w:rsidP="00284D18">
      <w:pPr>
        <w:pStyle w:val="Akapitzlist"/>
        <w:numPr>
          <w:ilvl w:val="2"/>
          <w:numId w:val="13"/>
        </w:numPr>
      </w:pPr>
      <w:r w:rsidRPr="00296DB4">
        <w:t xml:space="preserve">na żądanie Zamawiającego Wykonawca dokona prezentacji </w:t>
      </w:r>
      <w:r w:rsidR="00B05904" w:rsidRPr="00296DB4">
        <w:t xml:space="preserve">wniosków </w:t>
      </w:r>
      <w:r w:rsidR="004650F5" w:rsidRPr="00296DB4">
        <w:br/>
      </w:r>
      <w:r w:rsidRPr="00296DB4">
        <w:t xml:space="preserve">i rekomendacji zawartych w „Raporcie z audytu dostępności </w:t>
      </w:r>
      <w:r w:rsidR="00A23656" w:rsidRPr="00296DB4">
        <w:t xml:space="preserve">cyfrowej </w:t>
      </w:r>
      <w:r w:rsidR="00DA270C" w:rsidRPr="00296DB4">
        <w:t>Akademii Łomżyńskiej</w:t>
      </w:r>
      <w:r w:rsidRPr="00296DB4">
        <w:t>”;</w:t>
      </w:r>
    </w:p>
    <w:p w14:paraId="61C3C4CA" w14:textId="40F000F5" w:rsidR="00F33C48" w:rsidRPr="00296DB4" w:rsidRDefault="00F33C48" w:rsidP="00284D18">
      <w:pPr>
        <w:pStyle w:val="Akapitzlist"/>
        <w:numPr>
          <w:ilvl w:val="2"/>
          <w:numId w:val="13"/>
        </w:numPr>
      </w:pPr>
      <w:r w:rsidRPr="00296DB4">
        <w:t xml:space="preserve">w terminie </w:t>
      </w:r>
      <w:r w:rsidR="00CA64BD" w:rsidRPr="00296DB4">
        <w:t>3</w:t>
      </w:r>
      <w:r w:rsidRPr="00296DB4">
        <w:t xml:space="preserve"> dni, licząc od dnia dostarczenia </w:t>
      </w:r>
      <w:r w:rsidR="00A23656" w:rsidRPr="00296DB4">
        <w:t>w/w dokumentów</w:t>
      </w:r>
      <w:r w:rsidRPr="00296DB4">
        <w:t>, Zamawiający:</w:t>
      </w:r>
    </w:p>
    <w:p w14:paraId="2E6174B7" w14:textId="608E9B42" w:rsidR="00F33C48" w:rsidRPr="00296DB4" w:rsidRDefault="00F33C48" w:rsidP="00284D18">
      <w:pPr>
        <w:pStyle w:val="Akapitzlist"/>
        <w:numPr>
          <w:ilvl w:val="0"/>
          <w:numId w:val="8"/>
        </w:numPr>
      </w:pPr>
      <w:r w:rsidRPr="00296DB4">
        <w:t>przedstawi uwagi do treści dokumentów przedłożonych do odb</w:t>
      </w:r>
      <w:r w:rsidR="00B05904" w:rsidRPr="00296DB4">
        <w:t xml:space="preserve">ioru, w formie </w:t>
      </w:r>
      <w:r w:rsidRPr="00296DB4">
        <w:t>protokołu rozbieżności;</w:t>
      </w:r>
    </w:p>
    <w:p w14:paraId="6BC76991" w14:textId="13EE510B" w:rsidR="00F33C48" w:rsidRPr="00296DB4" w:rsidRDefault="00F33C48" w:rsidP="00284D18">
      <w:pPr>
        <w:pStyle w:val="Akapitzlist"/>
        <w:numPr>
          <w:ilvl w:val="0"/>
          <w:numId w:val="8"/>
        </w:numPr>
      </w:pPr>
      <w:r w:rsidRPr="00296DB4">
        <w:t>w przypadku braku zastrzeżeń do treści dokum</w:t>
      </w:r>
      <w:r w:rsidR="00B05904" w:rsidRPr="00296DB4">
        <w:t xml:space="preserve">entów przedłożonych do odbioru, </w:t>
      </w:r>
      <w:r w:rsidRPr="00296DB4">
        <w:t>sporządzi protokół odbioru; protokół ten Za</w:t>
      </w:r>
      <w:r w:rsidR="00B05904" w:rsidRPr="00296DB4">
        <w:t xml:space="preserve">mawiający niezwłocznie przekaże </w:t>
      </w:r>
      <w:r w:rsidRPr="00296DB4">
        <w:t>Wykonawcy i będzie on stanowił podstawę do wystawienia faktury.</w:t>
      </w:r>
    </w:p>
    <w:p w14:paraId="5C29DEC1" w14:textId="79B23783" w:rsidR="00F33C48" w:rsidRPr="00296DB4" w:rsidRDefault="00F33C48" w:rsidP="00FC4674">
      <w:pPr>
        <w:pStyle w:val="Akapitzlist"/>
        <w:numPr>
          <w:ilvl w:val="2"/>
          <w:numId w:val="13"/>
        </w:numPr>
        <w:spacing w:after="120"/>
        <w:ind w:hanging="181"/>
        <w:contextualSpacing w:val="0"/>
      </w:pPr>
      <w:r w:rsidRPr="00296DB4">
        <w:t xml:space="preserve">w przypadku gdy Zamawiający zgłosi uwagi do </w:t>
      </w:r>
      <w:r w:rsidR="00B05904" w:rsidRPr="00296DB4">
        <w:t xml:space="preserve">treści dokumentów przedłożonych </w:t>
      </w:r>
      <w:r w:rsidRPr="00296DB4">
        <w:t xml:space="preserve">do odbioru, Wykonawca w terminie </w:t>
      </w:r>
      <w:r w:rsidR="00CA64BD" w:rsidRPr="00296DB4">
        <w:t>3</w:t>
      </w:r>
      <w:r w:rsidRPr="00296DB4">
        <w:t xml:space="preserve"> dni</w:t>
      </w:r>
      <w:r w:rsidR="00B05904" w:rsidRPr="00296DB4">
        <w:t xml:space="preserve">, licząc od dnia otrzymania </w:t>
      </w:r>
      <w:r w:rsidRPr="00296DB4">
        <w:t xml:space="preserve">protokołu rozbieżności, przekaże Zamawiającemu </w:t>
      </w:r>
      <w:r w:rsidR="00A23656" w:rsidRPr="00296DB4">
        <w:t>„Raport</w:t>
      </w:r>
      <w:r w:rsidRPr="00296DB4">
        <w:t xml:space="preserve"> z audytu dostępności </w:t>
      </w:r>
      <w:r w:rsidR="00A23656" w:rsidRPr="00296DB4">
        <w:t xml:space="preserve">cyfrowej </w:t>
      </w:r>
      <w:r w:rsidR="00CA64BD" w:rsidRPr="00296DB4">
        <w:t>Akademii Łomżyńskiej</w:t>
      </w:r>
      <w:r w:rsidRPr="00296DB4">
        <w:t>” pozbawion</w:t>
      </w:r>
      <w:r w:rsidR="00A23656" w:rsidRPr="00296DB4">
        <w:t xml:space="preserve">y wad </w:t>
      </w:r>
      <w:r w:rsidRPr="00296DB4">
        <w:t>wskazanych w tym protokole.</w:t>
      </w:r>
      <w:r w:rsidR="00284D18" w:rsidRPr="00296DB4">
        <w:t xml:space="preserve"> </w:t>
      </w:r>
    </w:p>
    <w:p w14:paraId="4D536E59" w14:textId="55B71183" w:rsidR="00F33C48" w:rsidRPr="00296DB4" w:rsidRDefault="00F33C48" w:rsidP="00284D18">
      <w:pPr>
        <w:pStyle w:val="Akapitzlist"/>
        <w:numPr>
          <w:ilvl w:val="0"/>
          <w:numId w:val="12"/>
        </w:numPr>
        <w:spacing w:before="240" w:after="0"/>
        <w:ind w:left="714" w:hanging="357"/>
        <w:contextualSpacing w:val="0"/>
      </w:pPr>
      <w:r w:rsidRPr="00296DB4">
        <w:t>Płatność wynagrodzenia:</w:t>
      </w:r>
    </w:p>
    <w:p w14:paraId="14BD3D2D" w14:textId="520A4726" w:rsidR="00F33C48" w:rsidRPr="00296DB4" w:rsidRDefault="00F33C48" w:rsidP="00284D18">
      <w:pPr>
        <w:spacing w:line="240" w:lineRule="auto"/>
      </w:pPr>
      <w:r w:rsidRPr="00296DB4">
        <w:t>Zamawiający zapłaci Wykonawcy wynagr</w:t>
      </w:r>
      <w:r w:rsidR="00B05904" w:rsidRPr="00296DB4">
        <w:t xml:space="preserve">odzenie na podstawie prawidłowo </w:t>
      </w:r>
      <w:r w:rsidRPr="00296DB4">
        <w:t xml:space="preserve">wystawionej faktury VAT sporządzonej przez </w:t>
      </w:r>
      <w:r w:rsidR="00B05904" w:rsidRPr="00296DB4">
        <w:t xml:space="preserve">Wykonawcę i dołączonego do niej </w:t>
      </w:r>
      <w:r w:rsidRPr="00296DB4">
        <w:t xml:space="preserve">protokołu odbioru, </w:t>
      </w:r>
      <w:r w:rsidR="004650F5" w:rsidRPr="00296DB4">
        <w:br/>
      </w:r>
      <w:r w:rsidRPr="00296DB4">
        <w:t xml:space="preserve">w którym </w:t>
      </w:r>
      <w:r w:rsidR="0073267C" w:rsidRPr="00296DB4">
        <w:t>nie zawarto zastrzeżeń lub uwag w terminie 14 dni od dnia otrzymania w/w faktury.</w:t>
      </w:r>
    </w:p>
    <w:p w14:paraId="3AE0AFF4" w14:textId="6CDC9128" w:rsidR="00F33C48" w:rsidRPr="00296DB4" w:rsidRDefault="00F33C48" w:rsidP="00284D18">
      <w:pPr>
        <w:pStyle w:val="Akapitzlist"/>
        <w:numPr>
          <w:ilvl w:val="0"/>
          <w:numId w:val="12"/>
        </w:numPr>
      </w:pPr>
      <w:r w:rsidRPr="00296DB4">
        <w:t>Autorskie prawa majątkowe:</w:t>
      </w:r>
    </w:p>
    <w:p w14:paraId="58CAFDDA" w14:textId="293ADBAD" w:rsidR="00F33C48" w:rsidRPr="00296DB4" w:rsidRDefault="00F33C48" w:rsidP="00284D18">
      <w:pPr>
        <w:pStyle w:val="Akapitzlist"/>
        <w:numPr>
          <w:ilvl w:val="1"/>
          <w:numId w:val="23"/>
        </w:numPr>
      </w:pPr>
      <w:r w:rsidRPr="00296DB4">
        <w:t>Wykonawca w ramach wynagrodzenia, o któ</w:t>
      </w:r>
      <w:r w:rsidR="00B05904" w:rsidRPr="00296DB4">
        <w:t xml:space="preserve">rym mowa w pkt 3, przeniesie na </w:t>
      </w:r>
      <w:r w:rsidRPr="00296DB4">
        <w:t>Zamawiającego autorskie prawa majątkowe oraz zale</w:t>
      </w:r>
      <w:r w:rsidR="0073267C" w:rsidRPr="00296DB4">
        <w:t>żne prawa autorskie do „Raportu</w:t>
      </w:r>
      <w:r w:rsidR="00B05904" w:rsidRPr="00296DB4">
        <w:t xml:space="preserve"> </w:t>
      </w:r>
      <w:r w:rsidRPr="00296DB4">
        <w:t xml:space="preserve">z audytu dostępności </w:t>
      </w:r>
      <w:r w:rsidR="0073267C" w:rsidRPr="00296DB4">
        <w:t xml:space="preserve">cyfrowej </w:t>
      </w:r>
      <w:r w:rsidR="00DA270C" w:rsidRPr="00296DB4">
        <w:t>Akademii Łomżyńskiej</w:t>
      </w:r>
      <w:r w:rsidRPr="00296DB4">
        <w:t>”, wytworzon</w:t>
      </w:r>
      <w:r w:rsidR="0073267C" w:rsidRPr="00296DB4">
        <w:t>ego i przekazanego</w:t>
      </w:r>
      <w:r w:rsidR="00B05904" w:rsidRPr="00296DB4">
        <w:t xml:space="preserve"> Zamawiającemu w </w:t>
      </w:r>
      <w:r w:rsidRPr="00296DB4">
        <w:t xml:space="preserve">ramach realizacji umowy, </w:t>
      </w:r>
      <w:r w:rsidR="004650F5" w:rsidRPr="00296DB4">
        <w:br/>
      </w:r>
      <w:r w:rsidRPr="00296DB4">
        <w:t>w tym własności materialny</w:t>
      </w:r>
      <w:r w:rsidR="00B05904" w:rsidRPr="00296DB4">
        <w:t xml:space="preserve">ch nośników, na których zostaną </w:t>
      </w:r>
      <w:r w:rsidRPr="00296DB4">
        <w:t>utrwalone, na wszelkich polach eksploatacji bez ograniczeń.</w:t>
      </w:r>
    </w:p>
    <w:p w14:paraId="7E7988B5" w14:textId="3AC4F745" w:rsidR="00F33C48" w:rsidRPr="00296DB4" w:rsidRDefault="00F33C48" w:rsidP="00284D18">
      <w:pPr>
        <w:pStyle w:val="Akapitzlist"/>
        <w:numPr>
          <w:ilvl w:val="1"/>
          <w:numId w:val="23"/>
        </w:numPr>
        <w:ind w:left="1434" w:hanging="357"/>
        <w:contextualSpacing w:val="0"/>
      </w:pPr>
      <w:r w:rsidRPr="00296DB4">
        <w:lastRenderedPageBreak/>
        <w:t>Przeniesienie praw nastąpi z chwilą zapłaty wynagrodzenia.</w:t>
      </w:r>
    </w:p>
    <w:p w14:paraId="177E72E7" w14:textId="1CF23489" w:rsidR="00F33C48" w:rsidRPr="00296DB4" w:rsidRDefault="00F33C48" w:rsidP="00284D18">
      <w:pPr>
        <w:pStyle w:val="Akapitzlist"/>
        <w:numPr>
          <w:ilvl w:val="0"/>
          <w:numId w:val="12"/>
        </w:numPr>
        <w:ind w:left="714" w:hanging="357"/>
        <w:contextualSpacing w:val="0"/>
      </w:pPr>
      <w:r w:rsidRPr="00296DB4">
        <w:t>Tajemnica:</w:t>
      </w:r>
    </w:p>
    <w:p w14:paraId="690AD82A" w14:textId="77777777" w:rsidR="00F33C48" w:rsidRPr="00296DB4" w:rsidRDefault="00F33C48" w:rsidP="00284D18">
      <w:r w:rsidRPr="00296DB4">
        <w:t>Wykonawca zobowiązany będzie do zachowania w taje</w:t>
      </w:r>
      <w:r w:rsidR="00B05904" w:rsidRPr="00296DB4">
        <w:t xml:space="preserve">mnicy wszelkich informacji oraz </w:t>
      </w:r>
      <w:r w:rsidRPr="00296DB4">
        <w:t>danych otrzymanych i uzyskanych od Zamaw</w:t>
      </w:r>
      <w:r w:rsidR="00B05904" w:rsidRPr="00296DB4">
        <w:t xml:space="preserve">iającego w związku z wykonaniem </w:t>
      </w:r>
      <w:r w:rsidRPr="00296DB4">
        <w:t>zobowiązań wynikających z zawartej umowy.</w:t>
      </w:r>
    </w:p>
    <w:p w14:paraId="6013B1B3" w14:textId="2AD8C28A" w:rsidR="00F33C48" w:rsidRPr="00296DB4" w:rsidRDefault="00F33C48" w:rsidP="00284D18">
      <w:pPr>
        <w:pStyle w:val="Akapitzlist"/>
        <w:numPr>
          <w:ilvl w:val="0"/>
          <w:numId w:val="12"/>
        </w:numPr>
      </w:pPr>
      <w:r w:rsidRPr="00296DB4">
        <w:t>Kary umowne i odpowiedzialność:</w:t>
      </w:r>
    </w:p>
    <w:p w14:paraId="6E951630" w14:textId="1BC68075" w:rsidR="00F33C48" w:rsidRPr="00296DB4" w:rsidRDefault="00F33C48" w:rsidP="00284D18">
      <w:pPr>
        <w:pStyle w:val="Akapitzlist"/>
        <w:numPr>
          <w:ilvl w:val="1"/>
          <w:numId w:val="14"/>
        </w:numPr>
      </w:pPr>
      <w:r w:rsidRPr="00296DB4">
        <w:t>Wykonawca zapłaci Zamawiającemu kary</w:t>
      </w:r>
      <w:r w:rsidR="00662965" w:rsidRPr="00296DB4">
        <w:t xml:space="preserve"> umowne, które będą naliczane </w:t>
      </w:r>
      <w:r w:rsidR="004650F5" w:rsidRPr="00296DB4">
        <w:br/>
      </w:r>
      <w:r w:rsidR="00662965" w:rsidRPr="00296DB4">
        <w:t xml:space="preserve">w </w:t>
      </w:r>
      <w:r w:rsidRPr="00296DB4">
        <w:t>następujących okolicznościach i wysokościach:</w:t>
      </w:r>
    </w:p>
    <w:p w14:paraId="68811A6F" w14:textId="1DAA9C14" w:rsidR="00F33C48" w:rsidRPr="00296DB4" w:rsidRDefault="00F33C48" w:rsidP="00284D18">
      <w:pPr>
        <w:pStyle w:val="Akapitzlist"/>
        <w:numPr>
          <w:ilvl w:val="2"/>
          <w:numId w:val="11"/>
        </w:numPr>
      </w:pPr>
      <w:r w:rsidRPr="00296DB4">
        <w:t xml:space="preserve">za opóźnienie w realizacji usługi audytu dostępności </w:t>
      </w:r>
      <w:r w:rsidR="00662965" w:rsidRPr="00296DB4">
        <w:t xml:space="preserve">cyfrowej </w:t>
      </w:r>
      <w:r w:rsidR="00DA270C" w:rsidRPr="00296DB4">
        <w:t>AŁ</w:t>
      </w:r>
      <w:r w:rsidR="00662965" w:rsidRPr="00296DB4">
        <w:t xml:space="preserve"> wraz </w:t>
      </w:r>
      <w:r w:rsidRPr="00296DB4">
        <w:t>z wykonaniem raport</w:t>
      </w:r>
      <w:r w:rsidR="00662965" w:rsidRPr="00296DB4">
        <w:t xml:space="preserve">u, w wysokości 1% wynagrodzenia </w:t>
      </w:r>
      <w:r w:rsidRPr="00296DB4">
        <w:t>za każdy dzień o</w:t>
      </w:r>
      <w:r w:rsidR="00662965" w:rsidRPr="00296DB4">
        <w:t xml:space="preserve">późnienia w stosunku do terminu </w:t>
      </w:r>
      <w:r w:rsidRPr="00296DB4">
        <w:t>realizacji zamówienia wynikającego z umowy;</w:t>
      </w:r>
    </w:p>
    <w:p w14:paraId="3BDFFCDA" w14:textId="1CEFA097" w:rsidR="00F33C48" w:rsidRPr="00296DB4" w:rsidRDefault="00F33C48" w:rsidP="00284D18">
      <w:pPr>
        <w:pStyle w:val="Akapitzlist"/>
        <w:numPr>
          <w:ilvl w:val="2"/>
          <w:numId w:val="11"/>
        </w:numPr>
      </w:pPr>
      <w:r w:rsidRPr="00296DB4">
        <w:t xml:space="preserve">za odstąpienie od umowy przez którąkolwiek </w:t>
      </w:r>
      <w:r w:rsidR="00662965" w:rsidRPr="00296DB4">
        <w:t xml:space="preserve">ze Stron z przyczyn leżących po </w:t>
      </w:r>
      <w:r w:rsidRPr="00296DB4">
        <w:t>stronie Wykonawcy – w wysokości 20% łącznego wynagrodzenia;</w:t>
      </w:r>
    </w:p>
    <w:p w14:paraId="1AF3F996" w14:textId="2A91213D" w:rsidR="00F33C48" w:rsidRPr="00296DB4" w:rsidRDefault="00F33C48" w:rsidP="00284D18">
      <w:pPr>
        <w:pStyle w:val="Akapitzlist"/>
        <w:numPr>
          <w:ilvl w:val="2"/>
          <w:numId w:val="11"/>
        </w:numPr>
      </w:pPr>
      <w:r w:rsidRPr="00296DB4">
        <w:t>za naruszenie obowiązku zachowania poufności</w:t>
      </w:r>
      <w:r w:rsidR="00662965" w:rsidRPr="00296DB4">
        <w:t xml:space="preserve"> – 5% łącznego wynagrodzenia za </w:t>
      </w:r>
      <w:r w:rsidRPr="00296DB4">
        <w:t>każde naruszenie.</w:t>
      </w:r>
    </w:p>
    <w:p w14:paraId="3EA91A2A" w14:textId="713C3B16" w:rsidR="00DC6EE8" w:rsidRPr="00296DB4" w:rsidRDefault="00F33C48" w:rsidP="00284D18">
      <w:pPr>
        <w:pStyle w:val="Akapitzlist"/>
        <w:numPr>
          <w:ilvl w:val="1"/>
          <w:numId w:val="14"/>
        </w:numPr>
      </w:pPr>
      <w:r w:rsidRPr="00296DB4">
        <w:t>Kary umowne podlegać będą sumowaniu.</w:t>
      </w:r>
    </w:p>
    <w:p w14:paraId="785D894F" w14:textId="31A4ACFF" w:rsidR="00F33C48" w:rsidRPr="00296DB4" w:rsidRDefault="00662965" w:rsidP="005056C4">
      <w:pPr>
        <w:pStyle w:val="Nagwek2"/>
      </w:pPr>
      <w:r w:rsidRPr="00296DB4">
        <w:t>I</w:t>
      </w:r>
      <w:r w:rsidR="00744041" w:rsidRPr="00296DB4">
        <w:t>V. Sposób i termin składania ofert</w:t>
      </w:r>
    </w:p>
    <w:p w14:paraId="3769838D" w14:textId="14B12282" w:rsidR="00F33C48" w:rsidRPr="00296DB4" w:rsidRDefault="00F33C48" w:rsidP="00284D18">
      <w:pPr>
        <w:pStyle w:val="Akapitzlist"/>
        <w:numPr>
          <w:ilvl w:val="0"/>
          <w:numId w:val="15"/>
        </w:numPr>
      </w:pPr>
      <w:r w:rsidRPr="00296DB4">
        <w:t>Kompletna oferta musi zawierać:</w:t>
      </w:r>
    </w:p>
    <w:p w14:paraId="65E888C5" w14:textId="5092CA2C" w:rsidR="00F33C48" w:rsidRPr="00296DB4" w:rsidRDefault="00F33C48" w:rsidP="00284D18">
      <w:pPr>
        <w:pStyle w:val="Akapitzlist"/>
        <w:numPr>
          <w:ilvl w:val="1"/>
          <w:numId w:val="20"/>
        </w:numPr>
      </w:pPr>
      <w:r w:rsidRPr="00296DB4">
        <w:t xml:space="preserve">Wypełniony i podpisany przez osobę upoważnioną </w:t>
      </w:r>
      <w:r w:rsidR="00085982" w:rsidRPr="00296DB4">
        <w:t xml:space="preserve">formularz ofertowy, sporządzony </w:t>
      </w:r>
      <w:r w:rsidRPr="00296DB4">
        <w:t>według wzoru stanowiącego załącznik nr 1 do zapytania ofertowego;</w:t>
      </w:r>
    </w:p>
    <w:p w14:paraId="24D3D186" w14:textId="61D177DF" w:rsidR="00F33C48" w:rsidRPr="00296DB4" w:rsidRDefault="00F33C48" w:rsidP="00284D18">
      <w:pPr>
        <w:pStyle w:val="Akapitzlist"/>
        <w:numPr>
          <w:ilvl w:val="1"/>
          <w:numId w:val="20"/>
        </w:numPr>
      </w:pPr>
      <w:r w:rsidRPr="00296DB4">
        <w:t>Aktualny wyciąg lub wydruk z Krajowego Rejes</w:t>
      </w:r>
      <w:r w:rsidR="00085982" w:rsidRPr="00296DB4">
        <w:t xml:space="preserve">tru Sądowego, innego właściwego </w:t>
      </w:r>
      <w:r w:rsidRPr="00296DB4">
        <w:t>rejestru (np. ewidencji działalności gospodarczej), z okresu nie dłuższego</w:t>
      </w:r>
      <w:r w:rsidR="00085982" w:rsidRPr="00296DB4">
        <w:t xml:space="preserve"> niż 6 </w:t>
      </w:r>
      <w:r w:rsidRPr="00296DB4">
        <w:t>miesięcy przed dniem złożenia oferty lub innego d</w:t>
      </w:r>
      <w:r w:rsidR="00085982" w:rsidRPr="00296DB4">
        <w:t xml:space="preserve">okumentu potwierdzającego formę </w:t>
      </w:r>
      <w:r w:rsidRPr="00296DB4">
        <w:t>i charakter prowadzonej działalności.</w:t>
      </w:r>
    </w:p>
    <w:p w14:paraId="6D19C0FE" w14:textId="6186FBF9" w:rsidR="00F33C48" w:rsidRPr="00296DB4" w:rsidRDefault="00F33C48" w:rsidP="00284D18">
      <w:pPr>
        <w:pStyle w:val="Akapitzlist"/>
        <w:numPr>
          <w:ilvl w:val="0"/>
          <w:numId w:val="15"/>
        </w:numPr>
      </w:pPr>
      <w:r w:rsidRPr="00296DB4">
        <w:t>Ofertę należy przesłać za pośrednictwem poczty elektronicznej na adres:</w:t>
      </w:r>
      <w:r w:rsidR="00662965" w:rsidRPr="00296DB4">
        <w:t xml:space="preserve"> d</w:t>
      </w:r>
      <w:r w:rsidR="00CA64BD" w:rsidRPr="00296DB4">
        <w:t>k</w:t>
      </w:r>
      <w:r w:rsidR="00662965" w:rsidRPr="00296DB4">
        <w:t>@</w:t>
      </w:r>
      <w:r w:rsidR="00DA270C" w:rsidRPr="00296DB4">
        <w:t>al</w:t>
      </w:r>
      <w:r w:rsidR="00662965" w:rsidRPr="00296DB4">
        <w:t xml:space="preserve">.edu.pl </w:t>
      </w:r>
      <w:r w:rsidR="00CA64BD" w:rsidRPr="00296DB4">
        <w:t>w terminie 7 dni następujących po dniu opublikowania niniejszego zapytania</w:t>
      </w:r>
      <w:r w:rsidRPr="00296DB4">
        <w:t>.</w:t>
      </w:r>
    </w:p>
    <w:p w14:paraId="7A0FAC00" w14:textId="50426F4B" w:rsidR="00F33C48" w:rsidRPr="00296DB4" w:rsidRDefault="00662965" w:rsidP="005056C4">
      <w:pPr>
        <w:pStyle w:val="Nagwek2"/>
      </w:pPr>
      <w:r w:rsidRPr="00296DB4">
        <w:t>V</w:t>
      </w:r>
      <w:r w:rsidR="009527BB" w:rsidRPr="00296DB4">
        <w:t>. Kryteria oceny i wyboru oferty</w:t>
      </w:r>
    </w:p>
    <w:p w14:paraId="4646856B" w14:textId="1A30B1FA" w:rsidR="00F33C48" w:rsidRPr="00296DB4" w:rsidRDefault="00F33C48" w:rsidP="00284D18">
      <w:pPr>
        <w:pStyle w:val="Akapitzlist"/>
        <w:numPr>
          <w:ilvl w:val="0"/>
          <w:numId w:val="16"/>
        </w:numPr>
      </w:pPr>
      <w:r w:rsidRPr="00296DB4">
        <w:t>Ocenie poddane zostaną tylko oferty złożone w t</w:t>
      </w:r>
      <w:r w:rsidR="00662965" w:rsidRPr="00296DB4">
        <w:t xml:space="preserve">erminie oraz kompletne i zgodne </w:t>
      </w:r>
      <w:r w:rsidRPr="00296DB4">
        <w:t xml:space="preserve">z wymaganiami opisanymi w pkt. </w:t>
      </w:r>
      <w:r w:rsidR="00662965" w:rsidRPr="00296DB4">
        <w:t>I</w:t>
      </w:r>
      <w:r w:rsidRPr="00296DB4">
        <w:t>V.</w:t>
      </w:r>
    </w:p>
    <w:p w14:paraId="1A7938CF" w14:textId="5C7B8DCC" w:rsidR="00F33C48" w:rsidRPr="00296DB4" w:rsidRDefault="00F33C48" w:rsidP="00284D18">
      <w:pPr>
        <w:pStyle w:val="Akapitzlist"/>
        <w:numPr>
          <w:ilvl w:val="0"/>
          <w:numId w:val="16"/>
        </w:numPr>
      </w:pPr>
      <w:r w:rsidRPr="00296DB4">
        <w:t>Zamawiający dokona oceny ofert na podstawie</w:t>
      </w:r>
      <w:r w:rsidR="00662965" w:rsidRPr="00296DB4">
        <w:t xml:space="preserve"> niżej zdefiniowanych kryteriów </w:t>
      </w:r>
      <w:r w:rsidRPr="00296DB4">
        <w:t>i przypisanego im znaczenia (wagi).</w:t>
      </w:r>
    </w:p>
    <w:p w14:paraId="378515FF" w14:textId="4C0AF9D4" w:rsidR="00822971" w:rsidRPr="00296DB4" w:rsidRDefault="00F33C48" w:rsidP="00284D18">
      <w:pPr>
        <w:pStyle w:val="Akapitzlist"/>
        <w:numPr>
          <w:ilvl w:val="0"/>
          <w:numId w:val="16"/>
        </w:numPr>
      </w:pPr>
      <w:r w:rsidRPr="00296DB4">
        <w:t>Dla dokonania oceny ofert waga w kryteriach oceny, o</w:t>
      </w:r>
      <w:r w:rsidR="00662965" w:rsidRPr="00296DB4">
        <w:t xml:space="preserve">kreślona w procentach, zostanie </w:t>
      </w:r>
      <w:r w:rsidRPr="00296DB4">
        <w:t>przeliczona na punkty: 1 procent odpowiada 1 punkto</w:t>
      </w:r>
      <w:r w:rsidR="00662965" w:rsidRPr="00296DB4">
        <w:t xml:space="preserve">wi. Ocenie podlegać będą oferty </w:t>
      </w:r>
      <w:r w:rsidRPr="00296DB4">
        <w:t>niepodlegające odrzuceniu.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1276"/>
        <w:gridCol w:w="1554"/>
      </w:tblGrid>
      <w:tr w:rsidR="00822971" w:rsidRPr="00296DB4" w14:paraId="52BDFF85" w14:textId="77777777" w:rsidTr="00235F69">
        <w:tc>
          <w:tcPr>
            <w:tcW w:w="704" w:type="dxa"/>
          </w:tcPr>
          <w:p w14:paraId="07A9A557" w14:textId="77777777" w:rsidR="00822971" w:rsidRPr="00296DB4" w:rsidRDefault="00822971" w:rsidP="009729BC">
            <w:pPr>
              <w:pStyle w:val="Bezodstpw"/>
            </w:pPr>
            <w:r w:rsidRPr="00296DB4">
              <w:lastRenderedPageBreak/>
              <w:t>L.p.</w:t>
            </w:r>
          </w:p>
        </w:tc>
        <w:tc>
          <w:tcPr>
            <w:tcW w:w="5528" w:type="dxa"/>
          </w:tcPr>
          <w:p w14:paraId="1238BBF2" w14:textId="77777777" w:rsidR="00822971" w:rsidRPr="00296DB4" w:rsidRDefault="00822971" w:rsidP="009729BC">
            <w:pPr>
              <w:pStyle w:val="Bezodstpw"/>
            </w:pPr>
            <w:r w:rsidRPr="00296DB4">
              <w:t>Kryterium</w:t>
            </w:r>
          </w:p>
        </w:tc>
        <w:tc>
          <w:tcPr>
            <w:tcW w:w="1276" w:type="dxa"/>
          </w:tcPr>
          <w:p w14:paraId="258EF561" w14:textId="77777777" w:rsidR="00822971" w:rsidRPr="00296DB4" w:rsidRDefault="00822971" w:rsidP="009729BC">
            <w:pPr>
              <w:pStyle w:val="Bezodstpw"/>
            </w:pPr>
            <w:r w:rsidRPr="00296DB4">
              <w:t>Znaczenie kryterium w %</w:t>
            </w:r>
          </w:p>
        </w:tc>
        <w:tc>
          <w:tcPr>
            <w:tcW w:w="1554" w:type="dxa"/>
          </w:tcPr>
          <w:p w14:paraId="78684222" w14:textId="77777777" w:rsidR="00822971" w:rsidRPr="00296DB4" w:rsidRDefault="00822971" w:rsidP="009729BC">
            <w:pPr>
              <w:pStyle w:val="Bezodstpw"/>
            </w:pPr>
            <w:r w:rsidRPr="00296DB4">
              <w:t>Liczba możliwych do uzyskania punktów</w:t>
            </w:r>
          </w:p>
        </w:tc>
      </w:tr>
      <w:tr w:rsidR="00822971" w:rsidRPr="00296DB4" w14:paraId="68A1DF99" w14:textId="77777777" w:rsidTr="00235F69">
        <w:tc>
          <w:tcPr>
            <w:tcW w:w="704" w:type="dxa"/>
          </w:tcPr>
          <w:p w14:paraId="5E00842E" w14:textId="77777777" w:rsidR="00822971" w:rsidRPr="00296DB4" w:rsidRDefault="00822971" w:rsidP="009729BC">
            <w:pPr>
              <w:pStyle w:val="Bezodstpw"/>
            </w:pPr>
            <w:r w:rsidRPr="00296DB4">
              <w:t>1</w:t>
            </w:r>
            <w:r w:rsidR="00085982" w:rsidRPr="00296DB4">
              <w:t>.</w:t>
            </w:r>
          </w:p>
        </w:tc>
        <w:tc>
          <w:tcPr>
            <w:tcW w:w="5528" w:type="dxa"/>
          </w:tcPr>
          <w:p w14:paraId="54DBC402" w14:textId="77777777" w:rsidR="00822971" w:rsidRPr="00296DB4" w:rsidRDefault="00822971" w:rsidP="009729BC">
            <w:pPr>
              <w:pStyle w:val="Bezodstpw"/>
            </w:pPr>
            <w:r w:rsidRPr="00296DB4">
              <w:t>Cena oferty z VAT</w:t>
            </w:r>
          </w:p>
        </w:tc>
        <w:tc>
          <w:tcPr>
            <w:tcW w:w="1276" w:type="dxa"/>
          </w:tcPr>
          <w:p w14:paraId="0DFB5EC4" w14:textId="170A734C" w:rsidR="00822971" w:rsidRPr="00296DB4" w:rsidRDefault="00CA64BD" w:rsidP="009729BC">
            <w:pPr>
              <w:pStyle w:val="Bezodstpw"/>
            </w:pPr>
            <w:r w:rsidRPr="00296DB4">
              <w:t>9</w:t>
            </w:r>
            <w:r w:rsidR="00822971" w:rsidRPr="00296DB4">
              <w:t>0</w:t>
            </w:r>
          </w:p>
        </w:tc>
        <w:tc>
          <w:tcPr>
            <w:tcW w:w="1554" w:type="dxa"/>
          </w:tcPr>
          <w:p w14:paraId="7F6F371A" w14:textId="20616EA9" w:rsidR="00822971" w:rsidRPr="00296DB4" w:rsidRDefault="00CA64BD" w:rsidP="009729BC">
            <w:pPr>
              <w:pStyle w:val="Bezodstpw"/>
            </w:pPr>
            <w:r w:rsidRPr="00296DB4">
              <w:t>9</w:t>
            </w:r>
            <w:r w:rsidR="00822971" w:rsidRPr="00296DB4">
              <w:t>0</w:t>
            </w:r>
          </w:p>
        </w:tc>
      </w:tr>
      <w:tr w:rsidR="00822971" w:rsidRPr="00296DB4" w14:paraId="6929595A" w14:textId="77777777" w:rsidTr="00235F69">
        <w:tc>
          <w:tcPr>
            <w:tcW w:w="704" w:type="dxa"/>
          </w:tcPr>
          <w:p w14:paraId="75AA9933" w14:textId="77777777" w:rsidR="00822971" w:rsidRPr="00296DB4" w:rsidRDefault="00E86380" w:rsidP="009729BC">
            <w:pPr>
              <w:pStyle w:val="Bezodstpw"/>
            </w:pPr>
            <w:r w:rsidRPr="00296DB4">
              <w:t>3</w:t>
            </w:r>
            <w:r w:rsidR="00085982" w:rsidRPr="00296DB4">
              <w:t>.</w:t>
            </w:r>
          </w:p>
        </w:tc>
        <w:tc>
          <w:tcPr>
            <w:tcW w:w="5528" w:type="dxa"/>
          </w:tcPr>
          <w:p w14:paraId="2CC42041" w14:textId="0678DE7B" w:rsidR="00822971" w:rsidRPr="00296DB4" w:rsidRDefault="00E86380" w:rsidP="009729BC">
            <w:pPr>
              <w:pStyle w:val="Bezodstpw"/>
            </w:pPr>
            <w:r w:rsidRPr="00296DB4">
              <w:t xml:space="preserve">Liczba serwisów internetowych lub aplikacji internetowych, dla których Wykonawca zrealizował audyt dostępności dla osób niepełnosprawnych, w odniesieniu do standardu WCAG </w:t>
            </w:r>
            <w:r w:rsidR="00E50CA4" w:rsidRPr="00296DB4">
              <w:t>2.2</w:t>
            </w:r>
          </w:p>
        </w:tc>
        <w:tc>
          <w:tcPr>
            <w:tcW w:w="1276" w:type="dxa"/>
          </w:tcPr>
          <w:p w14:paraId="7B1638A6" w14:textId="77777777" w:rsidR="00822971" w:rsidRPr="00296DB4" w:rsidRDefault="00E86380" w:rsidP="009729BC">
            <w:pPr>
              <w:pStyle w:val="Bezodstpw"/>
            </w:pPr>
            <w:r w:rsidRPr="00296DB4">
              <w:t>10</w:t>
            </w:r>
          </w:p>
        </w:tc>
        <w:tc>
          <w:tcPr>
            <w:tcW w:w="1554" w:type="dxa"/>
          </w:tcPr>
          <w:p w14:paraId="1E882CBF" w14:textId="77777777" w:rsidR="00822971" w:rsidRPr="00296DB4" w:rsidRDefault="00E86380" w:rsidP="009729BC">
            <w:pPr>
              <w:pStyle w:val="Bezodstpw"/>
            </w:pPr>
            <w:r w:rsidRPr="00296DB4">
              <w:t>10</w:t>
            </w:r>
          </w:p>
        </w:tc>
      </w:tr>
    </w:tbl>
    <w:p w14:paraId="7255B3D9" w14:textId="77777777" w:rsidR="00311E91" w:rsidRPr="00296DB4" w:rsidRDefault="00311E91" w:rsidP="00A32F81">
      <w:pPr>
        <w:spacing w:after="0"/>
      </w:pPr>
    </w:p>
    <w:p w14:paraId="5CE18A16" w14:textId="0A4720CC" w:rsidR="00F33C48" w:rsidRPr="00296DB4" w:rsidRDefault="00F33C48" w:rsidP="00284D18">
      <w:pPr>
        <w:pStyle w:val="Akapitzlist"/>
        <w:numPr>
          <w:ilvl w:val="0"/>
          <w:numId w:val="16"/>
        </w:numPr>
        <w:spacing w:after="120" w:line="240" w:lineRule="auto"/>
      </w:pPr>
      <w:r w:rsidRPr="00296DB4">
        <w:t xml:space="preserve">Sposób obliczenia punktów w kryterium nr 1: Łączna cena oferty z VAT – waga </w:t>
      </w:r>
      <w:r w:rsidR="00CA64BD" w:rsidRPr="00296DB4">
        <w:t>9</w:t>
      </w:r>
      <w:r w:rsidRPr="00296DB4">
        <w:t>0%.</w:t>
      </w:r>
    </w:p>
    <w:p w14:paraId="537B4A61" w14:textId="7A8D3ABB" w:rsidR="00F33C48" w:rsidRPr="00296DB4" w:rsidRDefault="00F33C48" w:rsidP="00284D18">
      <w:pPr>
        <w:spacing w:after="600" w:line="240" w:lineRule="auto"/>
      </w:pPr>
      <w:r w:rsidRPr="00296DB4">
        <w:t xml:space="preserve">Oferta z najniższą łączną ceną otrzyma </w:t>
      </w:r>
      <w:r w:rsidR="00D1706E" w:rsidRPr="00296DB4">
        <w:t>9</w:t>
      </w:r>
      <w:r w:rsidRPr="00296DB4">
        <w:t>0 pkt, po</w:t>
      </w:r>
      <w:r w:rsidR="00085982" w:rsidRPr="00296DB4">
        <w:t xml:space="preserve">zostałe oferty zostaną ocenione </w:t>
      </w:r>
      <w:r w:rsidR="00284D18" w:rsidRPr="00296DB4">
        <w:br/>
      </w:r>
      <w:r w:rsidRPr="00296DB4">
        <w:t>z dokładnością do dwóch miejsc po przecinku, według następującego wzoru:</w:t>
      </w:r>
    </w:p>
    <w:p w14:paraId="3BE143A7" w14:textId="1FB6A950" w:rsidR="00F33C48" w:rsidRPr="00296DB4" w:rsidRDefault="00CA64BD" w:rsidP="00E954CD">
      <w:r w:rsidRPr="00296DB4">
        <w:tab/>
      </w:r>
      <w:r w:rsidR="00F33C48" w:rsidRPr="00296DB4">
        <w:t>Co min</w:t>
      </w:r>
    </w:p>
    <w:p w14:paraId="4BED4465" w14:textId="18E5C259" w:rsidR="00F33C48" w:rsidRPr="00296DB4" w:rsidRDefault="00F33C48" w:rsidP="00E954CD">
      <w:r w:rsidRPr="00296DB4">
        <w:t xml:space="preserve">Co = ------------------- x </w:t>
      </w:r>
      <w:r w:rsidR="00D1706E" w:rsidRPr="00296DB4">
        <w:t>9</w:t>
      </w:r>
      <w:r w:rsidRPr="00296DB4">
        <w:t>0</w:t>
      </w:r>
    </w:p>
    <w:p w14:paraId="6865B1A7" w14:textId="3D8A2A38" w:rsidR="00F33C48" w:rsidRPr="00296DB4" w:rsidRDefault="00CA64BD" w:rsidP="00E954CD">
      <w:r w:rsidRPr="00296DB4">
        <w:tab/>
      </w:r>
      <w:r w:rsidR="00F33C48" w:rsidRPr="00296DB4">
        <w:t xml:space="preserve">Co </w:t>
      </w:r>
      <w:proofErr w:type="spellStart"/>
      <w:r w:rsidR="00F33C48" w:rsidRPr="00296DB4">
        <w:t>bad</w:t>
      </w:r>
      <w:proofErr w:type="spellEnd"/>
    </w:p>
    <w:p w14:paraId="205D4124" w14:textId="77777777" w:rsidR="00F33C48" w:rsidRPr="00296DB4" w:rsidRDefault="00F33C48" w:rsidP="00E954CD">
      <w:r w:rsidRPr="00296DB4">
        <w:t>gdzie:</w:t>
      </w:r>
    </w:p>
    <w:p w14:paraId="3498C404" w14:textId="77777777" w:rsidR="00F33C48" w:rsidRPr="00296DB4" w:rsidRDefault="00F33C48" w:rsidP="00E954CD">
      <w:r w:rsidRPr="00296DB4">
        <w:t>Co – liczba uzyskanych punktów w kryterium nr 1,</w:t>
      </w:r>
    </w:p>
    <w:p w14:paraId="63A4A14C" w14:textId="77777777" w:rsidR="00F33C48" w:rsidRPr="00296DB4" w:rsidRDefault="00F33C48" w:rsidP="00E954CD">
      <w:r w:rsidRPr="00296DB4">
        <w:t>Co min – cena oferty z najniższą ceną,</w:t>
      </w:r>
    </w:p>
    <w:p w14:paraId="6CE88860" w14:textId="6F6C7072" w:rsidR="00F33C48" w:rsidRPr="00296DB4" w:rsidRDefault="00F33C48" w:rsidP="00D1706E">
      <w:r w:rsidRPr="00296DB4">
        <w:t xml:space="preserve">Co </w:t>
      </w:r>
      <w:proofErr w:type="spellStart"/>
      <w:r w:rsidRPr="00296DB4">
        <w:t>bad</w:t>
      </w:r>
      <w:proofErr w:type="spellEnd"/>
      <w:r w:rsidRPr="00296DB4">
        <w:t xml:space="preserve"> – cena oferty badanej.</w:t>
      </w:r>
    </w:p>
    <w:p w14:paraId="2FC4AE88" w14:textId="06FE5068" w:rsidR="00F33C48" w:rsidRPr="00296DB4" w:rsidRDefault="00F33C48" w:rsidP="00284D18">
      <w:pPr>
        <w:pStyle w:val="Akapitzlist"/>
        <w:numPr>
          <w:ilvl w:val="0"/>
          <w:numId w:val="16"/>
        </w:numPr>
      </w:pPr>
      <w:r w:rsidRPr="00296DB4">
        <w:t>Sposób obl</w:t>
      </w:r>
      <w:r w:rsidR="003E5CA9" w:rsidRPr="00296DB4">
        <w:t xml:space="preserve">iczenia punktów w kryterium nr </w:t>
      </w:r>
      <w:r w:rsidR="00D1706E" w:rsidRPr="00296DB4">
        <w:t>2</w:t>
      </w:r>
      <w:r w:rsidRPr="00296DB4">
        <w:t>: Liczba serwisów internet</w:t>
      </w:r>
      <w:r w:rsidR="00085982" w:rsidRPr="00296DB4">
        <w:t xml:space="preserve">owych lub </w:t>
      </w:r>
      <w:r w:rsidRPr="00296DB4">
        <w:t>aplikacji internetowych, dla których Wykonawca zr</w:t>
      </w:r>
      <w:r w:rsidR="00085982" w:rsidRPr="00296DB4">
        <w:t xml:space="preserve">ealizował audyt dostępności dla </w:t>
      </w:r>
      <w:r w:rsidRPr="00296DB4">
        <w:t>osób niepełnosprawnych, w o</w:t>
      </w:r>
      <w:r w:rsidR="00685527" w:rsidRPr="00296DB4">
        <w:t>dniesieniu do standardu WCAG 2.</w:t>
      </w:r>
      <w:r w:rsidR="001F28D3" w:rsidRPr="00296DB4">
        <w:t>2</w:t>
      </w:r>
      <w:r w:rsidRPr="00296DB4">
        <w:t xml:space="preserve"> – waga 10%</w:t>
      </w:r>
    </w:p>
    <w:p w14:paraId="2768615D" w14:textId="031657A4" w:rsidR="00F33C48" w:rsidRPr="00296DB4" w:rsidRDefault="00F33C48" w:rsidP="00284D18">
      <w:pPr>
        <w:pStyle w:val="Akapitzlist"/>
        <w:numPr>
          <w:ilvl w:val="1"/>
          <w:numId w:val="22"/>
        </w:numPr>
      </w:pPr>
      <w:r w:rsidRPr="00296DB4">
        <w:t>Zamawiający dokona oceny w ww. kryterium na p</w:t>
      </w:r>
      <w:r w:rsidR="00085982" w:rsidRPr="00296DB4">
        <w:t xml:space="preserve">odstawie oświadczenia wykonawcy </w:t>
      </w:r>
      <w:r w:rsidRPr="00296DB4">
        <w:t>złożonego</w:t>
      </w:r>
      <w:r w:rsidR="002A1982" w:rsidRPr="00296DB4">
        <w:t xml:space="preserve"> w</w:t>
      </w:r>
      <w:r w:rsidRPr="00296DB4">
        <w:t xml:space="preserve"> FO.</w:t>
      </w:r>
    </w:p>
    <w:p w14:paraId="6A6BEAF9" w14:textId="1826512D" w:rsidR="00F33C48" w:rsidRPr="00296DB4" w:rsidRDefault="003E5CA9" w:rsidP="00284D18">
      <w:pPr>
        <w:pStyle w:val="Akapitzlist"/>
        <w:numPr>
          <w:ilvl w:val="1"/>
          <w:numId w:val="22"/>
        </w:numPr>
      </w:pPr>
      <w:r w:rsidRPr="00296DB4">
        <w:t xml:space="preserve">W kryterium nr </w:t>
      </w:r>
      <w:r w:rsidR="00D1706E" w:rsidRPr="00296DB4">
        <w:t>2</w:t>
      </w:r>
      <w:r w:rsidR="00F33C48" w:rsidRPr="00296DB4">
        <w:t xml:space="preserve"> oferta może uzyskać do 10 punktów </w:t>
      </w:r>
      <w:r w:rsidR="00085982" w:rsidRPr="00296DB4">
        <w:t xml:space="preserve">w zależności od liczby serwisów </w:t>
      </w:r>
      <w:r w:rsidR="00F33C48" w:rsidRPr="00296DB4">
        <w:t>internetowych lub aplikacji internetowych, dla któr</w:t>
      </w:r>
      <w:r w:rsidR="00085982" w:rsidRPr="00296DB4">
        <w:t xml:space="preserve">ych Wykonawca zrealizował audyt </w:t>
      </w:r>
      <w:r w:rsidR="00F33C48" w:rsidRPr="00296DB4">
        <w:t>dostępności dla osób niepełnosprawnych, w o</w:t>
      </w:r>
      <w:r w:rsidR="00685527" w:rsidRPr="00296DB4">
        <w:t>dniesieniu do standardu WCAG 2.</w:t>
      </w:r>
      <w:r w:rsidR="001F28D3" w:rsidRPr="00296DB4">
        <w:t>2</w:t>
      </w:r>
      <w:r w:rsidR="00F33C48" w:rsidRPr="00296DB4">
        <w:t>.</w:t>
      </w:r>
    </w:p>
    <w:p w14:paraId="49224985" w14:textId="01E541D7" w:rsidR="00F33C48" w:rsidRPr="00296DB4" w:rsidRDefault="003E5CA9" w:rsidP="00284D18">
      <w:pPr>
        <w:pStyle w:val="Akapitzlist"/>
        <w:numPr>
          <w:ilvl w:val="1"/>
          <w:numId w:val="22"/>
        </w:numPr>
      </w:pPr>
      <w:r w:rsidRPr="00296DB4">
        <w:t xml:space="preserve">Punkty w kryterium nr </w:t>
      </w:r>
      <w:r w:rsidR="00D1706E" w:rsidRPr="00296DB4">
        <w:t>2</w:t>
      </w:r>
      <w:r w:rsidR="00F33C48" w:rsidRPr="00296DB4">
        <w:t xml:space="preserve"> zostaną przyznane w sposób następujący: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1C0FB0" w:rsidRPr="00296DB4" w14:paraId="7D9526A6" w14:textId="77777777" w:rsidTr="009729BC">
        <w:trPr>
          <w:tblHeader/>
        </w:trPr>
        <w:tc>
          <w:tcPr>
            <w:tcW w:w="704" w:type="dxa"/>
          </w:tcPr>
          <w:p w14:paraId="436B3ED8" w14:textId="77777777" w:rsidR="001C0FB0" w:rsidRPr="00296DB4" w:rsidRDefault="001C0FB0" w:rsidP="009729BC">
            <w:pPr>
              <w:pStyle w:val="Bezodstpw"/>
            </w:pPr>
            <w:r w:rsidRPr="00296DB4">
              <w:t>Lp.</w:t>
            </w:r>
          </w:p>
        </w:tc>
        <w:tc>
          <w:tcPr>
            <w:tcW w:w="6804" w:type="dxa"/>
          </w:tcPr>
          <w:p w14:paraId="0456C1E9" w14:textId="31FF6DB9" w:rsidR="001C0FB0" w:rsidRPr="00296DB4" w:rsidRDefault="001C0FB0" w:rsidP="009729BC">
            <w:pPr>
              <w:pStyle w:val="Bezodstpw"/>
            </w:pPr>
            <w:r w:rsidRPr="00296DB4">
              <w:t>Liczba serwisów internetowych lub aplikacji internetowych, dla których Wykonawca zrealizował audyt dostępności dla osób niepełnosprawnych, w o</w:t>
            </w:r>
            <w:r w:rsidR="00685527" w:rsidRPr="00296DB4">
              <w:t>dniesieniu do standardu WCAG 2.</w:t>
            </w:r>
            <w:r w:rsidR="00DA270C" w:rsidRPr="00296DB4">
              <w:t>2</w:t>
            </w:r>
          </w:p>
        </w:tc>
        <w:tc>
          <w:tcPr>
            <w:tcW w:w="1554" w:type="dxa"/>
          </w:tcPr>
          <w:p w14:paraId="0F59A82B" w14:textId="77777777" w:rsidR="001C0FB0" w:rsidRPr="00296DB4" w:rsidRDefault="001C0FB0" w:rsidP="009729BC">
            <w:pPr>
              <w:pStyle w:val="Bezodstpw"/>
            </w:pPr>
            <w:r w:rsidRPr="00296DB4">
              <w:t>Liczba przyznanych punktów</w:t>
            </w:r>
          </w:p>
        </w:tc>
      </w:tr>
      <w:tr w:rsidR="001C0FB0" w:rsidRPr="00296DB4" w14:paraId="79DAD55F" w14:textId="77777777" w:rsidTr="001C0FB0">
        <w:tc>
          <w:tcPr>
            <w:tcW w:w="704" w:type="dxa"/>
          </w:tcPr>
          <w:p w14:paraId="5DF8B4E0" w14:textId="77777777" w:rsidR="001C0FB0" w:rsidRPr="00296DB4" w:rsidRDefault="001C0FB0" w:rsidP="009729BC">
            <w:pPr>
              <w:pStyle w:val="Bezodstpw"/>
            </w:pPr>
            <w:r w:rsidRPr="00296DB4">
              <w:t>1</w:t>
            </w:r>
            <w:r w:rsidR="00085982" w:rsidRPr="00296DB4">
              <w:t>.</w:t>
            </w:r>
          </w:p>
        </w:tc>
        <w:tc>
          <w:tcPr>
            <w:tcW w:w="6804" w:type="dxa"/>
          </w:tcPr>
          <w:p w14:paraId="293FD7E8" w14:textId="77777777" w:rsidR="001C0FB0" w:rsidRPr="00296DB4" w:rsidRDefault="001C0FB0" w:rsidP="009729BC">
            <w:pPr>
              <w:pStyle w:val="Bezodstpw"/>
            </w:pPr>
            <w:r w:rsidRPr="00296DB4">
              <w:t>Powyżej 31 serwisów internetowych lub aplikacji internetowych</w:t>
            </w:r>
          </w:p>
        </w:tc>
        <w:tc>
          <w:tcPr>
            <w:tcW w:w="1554" w:type="dxa"/>
          </w:tcPr>
          <w:p w14:paraId="114AB3A7" w14:textId="77777777" w:rsidR="001C0FB0" w:rsidRPr="00296DB4" w:rsidRDefault="001C0FB0" w:rsidP="009729BC">
            <w:pPr>
              <w:pStyle w:val="Bezodstpw"/>
            </w:pPr>
            <w:r w:rsidRPr="00296DB4">
              <w:t>10</w:t>
            </w:r>
          </w:p>
        </w:tc>
      </w:tr>
      <w:tr w:rsidR="001C0FB0" w:rsidRPr="00296DB4" w14:paraId="4C650689" w14:textId="77777777" w:rsidTr="001C0FB0">
        <w:tc>
          <w:tcPr>
            <w:tcW w:w="704" w:type="dxa"/>
          </w:tcPr>
          <w:p w14:paraId="5B389732" w14:textId="77777777" w:rsidR="001C0FB0" w:rsidRPr="00296DB4" w:rsidRDefault="001C0FB0" w:rsidP="009729BC">
            <w:pPr>
              <w:pStyle w:val="Bezodstpw"/>
            </w:pPr>
            <w:r w:rsidRPr="00296DB4">
              <w:t>2</w:t>
            </w:r>
            <w:r w:rsidR="00085982" w:rsidRPr="00296DB4">
              <w:t>.</w:t>
            </w:r>
          </w:p>
        </w:tc>
        <w:tc>
          <w:tcPr>
            <w:tcW w:w="6804" w:type="dxa"/>
          </w:tcPr>
          <w:p w14:paraId="250D3268" w14:textId="77777777" w:rsidR="001C0FB0" w:rsidRPr="00296DB4" w:rsidRDefault="001C0FB0" w:rsidP="009729BC">
            <w:pPr>
              <w:pStyle w:val="Bezodstpw"/>
            </w:pPr>
            <w:r w:rsidRPr="00296DB4">
              <w:t>Od 11 do 30 serwisów internetowych lub aplikacji internetowych</w:t>
            </w:r>
          </w:p>
        </w:tc>
        <w:tc>
          <w:tcPr>
            <w:tcW w:w="1554" w:type="dxa"/>
          </w:tcPr>
          <w:p w14:paraId="06538013" w14:textId="77777777" w:rsidR="001C0FB0" w:rsidRPr="00296DB4" w:rsidRDefault="001C0FB0" w:rsidP="009729BC">
            <w:pPr>
              <w:pStyle w:val="Bezodstpw"/>
            </w:pPr>
            <w:r w:rsidRPr="00296DB4">
              <w:t>5</w:t>
            </w:r>
          </w:p>
        </w:tc>
      </w:tr>
      <w:tr w:rsidR="001C0FB0" w:rsidRPr="00296DB4" w14:paraId="766CD241" w14:textId="77777777" w:rsidTr="001C0FB0">
        <w:tc>
          <w:tcPr>
            <w:tcW w:w="704" w:type="dxa"/>
          </w:tcPr>
          <w:p w14:paraId="5AB880FF" w14:textId="77777777" w:rsidR="001C0FB0" w:rsidRPr="00296DB4" w:rsidRDefault="001C0FB0" w:rsidP="009729BC">
            <w:pPr>
              <w:pStyle w:val="Bezodstpw"/>
            </w:pPr>
            <w:r w:rsidRPr="00296DB4">
              <w:lastRenderedPageBreak/>
              <w:t>3</w:t>
            </w:r>
            <w:r w:rsidR="00085982" w:rsidRPr="00296DB4">
              <w:t>.</w:t>
            </w:r>
          </w:p>
        </w:tc>
        <w:tc>
          <w:tcPr>
            <w:tcW w:w="6804" w:type="dxa"/>
          </w:tcPr>
          <w:p w14:paraId="73399E8F" w14:textId="77777777" w:rsidR="001C0FB0" w:rsidRPr="00296DB4" w:rsidRDefault="001C0FB0" w:rsidP="009729BC">
            <w:pPr>
              <w:pStyle w:val="Bezodstpw"/>
            </w:pPr>
            <w:r w:rsidRPr="00296DB4">
              <w:t>Do 10 serwisów internetowych lub aplikacji internetowych</w:t>
            </w:r>
          </w:p>
        </w:tc>
        <w:tc>
          <w:tcPr>
            <w:tcW w:w="1554" w:type="dxa"/>
          </w:tcPr>
          <w:p w14:paraId="0484D1AF" w14:textId="77777777" w:rsidR="001C0FB0" w:rsidRPr="00296DB4" w:rsidRDefault="001C0FB0" w:rsidP="009729BC">
            <w:pPr>
              <w:pStyle w:val="Bezodstpw"/>
            </w:pPr>
            <w:r w:rsidRPr="00296DB4">
              <w:t>0</w:t>
            </w:r>
          </w:p>
        </w:tc>
      </w:tr>
    </w:tbl>
    <w:p w14:paraId="47CB03D8" w14:textId="77777777" w:rsidR="003E5CA9" w:rsidRPr="00296DB4" w:rsidRDefault="003E5CA9" w:rsidP="00E954CD"/>
    <w:p w14:paraId="525F559A" w14:textId="56B3EDB6" w:rsidR="00F33C48" w:rsidRPr="00296DB4" w:rsidRDefault="00F33C48" w:rsidP="00284D18">
      <w:pPr>
        <w:pStyle w:val="Akapitzlist"/>
        <w:numPr>
          <w:ilvl w:val="1"/>
          <w:numId w:val="22"/>
        </w:numPr>
      </w:pPr>
      <w:r w:rsidRPr="00296DB4">
        <w:t xml:space="preserve">W przypadku niewypełnienia </w:t>
      </w:r>
      <w:r w:rsidR="002A1982" w:rsidRPr="00296DB4">
        <w:t xml:space="preserve">pkt 3 </w:t>
      </w:r>
      <w:r w:rsidRPr="00296DB4">
        <w:t>FO, jak również w</w:t>
      </w:r>
      <w:r w:rsidR="00085982" w:rsidRPr="00296DB4">
        <w:t xml:space="preserve"> przypadku wskazania więcej niż </w:t>
      </w:r>
      <w:r w:rsidRPr="00296DB4">
        <w:t>jednego zakresu z wymienionych w tabeli, Zamawiający odrzuci ofertę.</w:t>
      </w:r>
    </w:p>
    <w:p w14:paraId="20FD0966" w14:textId="77777777" w:rsidR="00A32F81" w:rsidRPr="00296DB4" w:rsidRDefault="00F33C48" w:rsidP="00284D18">
      <w:pPr>
        <w:pStyle w:val="Akapitzlist"/>
        <w:numPr>
          <w:ilvl w:val="0"/>
          <w:numId w:val="16"/>
        </w:numPr>
      </w:pPr>
      <w:r w:rsidRPr="00296DB4">
        <w:t>W przypadku braku możliwości zawarcia umowy z Wykonawcą, którego oferta została</w:t>
      </w:r>
      <w:r w:rsidR="00085982" w:rsidRPr="00296DB4">
        <w:t xml:space="preserve"> </w:t>
      </w:r>
      <w:r w:rsidRPr="00296DB4">
        <w:t>uznana za najkorzystniejszą, Zamawiającemu przysługuje prawo do w</w:t>
      </w:r>
      <w:r w:rsidR="00085982" w:rsidRPr="00296DB4">
        <w:t xml:space="preserve">yboru kolejnej ze </w:t>
      </w:r>
      <w:r w:rsidRPr="00296DB4">
        <w:t>złożonych ofert o najniższej cenie i zawarcia umo</w:t>
      </w:r>
      <w:r w:rsidR="00085982" w:rsidRPr="00296DB4">
        <w:t xml:space="preserve">wy bez konieczności powtarzania </w:t>
      </w:r>
      <w:r w:rsidRPr="00296DB4">
        <w:t>procedury wyboru.</w:t>
      </w:r>
    </w:p>
    <w:p w14:paraId="42C6A011" w14:textId="4ABEC6AB" w:rsidR="00A32F81" w:rsidRPr="00296DB4" w:rsidRDefault="00284D18" w:rsidP="00284D18">
      <w:pPr>
        <w:pStyle w:val="Nagwek2"/>
      </w:pPr>
      <w:r w:rsidRPr="00296DB4">
        <w:t>VI. Podstawy wykluczenia z postępowania:</w:t>
      </w:r>
    </w:p>
    <w:p w14:paraId="674C9E1A" w14:textId="784D3C35" w:rsidR="00284D18" w:rsidRPr="00296DB4" w:rsidRDefault="00284D18" w:rsidP="00284D18">
      <w:pPr>
        <w:pStyle w:val="Akapitzlist"/>
        <w:numPr>
          <w:ilvl w:val="0"/>
          <w:numId w:val="24"/>
        </w:numPr>
        <w:suppressAutoHyphens/>
        <w:spacing w:after="160"/>
        <w:ind w:left="284" w:hanging="284"/>
        <w:rPr>
          <w:rFonts w:cstheme="minorHAnsi"/>
          <w:lang w:eastAsia="pl-PL"/>
        </w:rPr>
      </w:pPr>
      <w:r w:rsidRPr="00296DB4">
        <w:rPr>
          <w:rFonts w:cstheme="minorHAnsi"/>
          <w:lang w:eastAsia="pl-PL"/>
        </w:rPr>
        <w:t xml:space="preserve">Wykonawca który jest powiązany osobowo lub kapitałowo z Zamawiającym podlega wykluczeniu, w celu uniknięcia konfliktu interesów.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Pr="00296DB4">
        <w:rPr>
          <w:rFonts w:cstheme="minorHAnsi"/>
          <w:lang w:eastAsia="pl-PL"/>
        </w:rPr>
        <w:br/>
        <w:t xml:space="preserve">i przeprowadzeniem procedury wyboru Wykonawcy, a Wykonawcą lub osobami upoważnionymi do zaciągania zobowiązań w imieniu Wykonawcy lub wykonującymi </w:t>
      </w:r>
      <w:r w:rsidR="0021141F" w:rsidRPr="00296DB4">
        <w:rPr>
          <w:rFonts w:cstheme="minorHAnsi"/>
          <w:lang w:eastAsia="pl-PL"/>
        </w:rPr>
        <w:br/>
      </w:r>
      <w:r w:rsidRPr="00296DB4">
        <w:rPr>
          <w:rFonts w:cstheme="minorHAnsi"/>
          <w:lang w:eastAsia="pl-PL"/>
        </w:rPr>
        <w:t>w imieniu Wykonawcy czynności w niniejszym postępowaniu albo między zastępcami prawnymi lub członkami organów zarządzających lub organów nadzorczych Zamawiającego, a Wykonawcą lub zastępcami prawnymi lub członkami organów zarządzających lub organów nadzorczych Wykonawcy, polegające na:</w:t>
      </w:r>
    </w:p>
    <w:p w14:paraId="015A37F2" w14:textId="77777777" w:rsidR="00284D18" w:rsidRPr="00296DB4" w:rsidRDefault="00284D18" w:rsidP="00284D18">
      <w:pPr>
        <w:pStyle w:val="Akapitzlist"/>
        <w:numPr>
          <w:ilvl w:val="0"/>
          <w:numId w:val="25"/>
        </w:numPr>
        <w:suppressAutoHyphens/>
        <w:spacing w:after="160"/>
        <w:rPr>
          <w:rFonts w:cstheme="minorHAnsi"/>
          <w:lang w:eastAsia="pl-PL"/>
        </w:rPr>
      </w:pPr>
      <w:r w:rsidRPr="00296DB4">
        <w:rPr>
          <w:rFonts w:cstheme="minorHAnsi"/>
          <w:lang w:eastAsia="pl-PL"/>
        </w:rPr>
        <w:t>uczestniczeniu w spółce, jako wspólnik spółki cywilnej lub spółki osobowej,</w:t>
      </w:r>
    </w:p>
    <w:p w14:paraId="7D20F2FC" w14:textId="77777777" w:rsidR="00284D18" w:rsidRPr="00296DB4" w:rsidRDefault="00284D18" w:rsidP="00284D18">
      <w:pPr>
        <w:pStyle w:val="Akapitzlist"/>
        <w:numPr>
          <w:ilvl w:val="0"/>
          <w:numId w:val="25"/>
        </w:numPr>
        <w:suppressAutoHyphens/>
        <w:spacing w:after="160"/>
        <w:rPr>
          <w:rFonts w:cstheme="minorHAnsi"/>
          <w:lang w:eastAsia="pl-PL"/>
        </w:rPr>
      </w:pPr>
      <w:r w:rsidRPr="00296DB4">
        <w:rPr>
          <w:rFonts w:cstheme="minorHAnsi"/>
          <w:lang w:eastAsia="pl-PL"/>
        </w:rPr>
        <w:t>posiadaniu co najmniej 10% udziałów lub akcji,</w:t>
      </w:r>
    </w:p>
    <w:p w14:paraId="7416B6F7" w14:textId="77777777" w:rsidR="00284D18" w:rsidRPr="00296DB4" w:rsidRDefault="00284D18" w:rsidP="00284D18">
      <w:pPr>
        <w:pStyle w:val="Akapitzlist"/>
        <w:numPr>
          <w:ilvl w:val="0"/>
          <w:numId w:val="25"/>
        </w:numPr>
        <w:suppressAutoHyphens/>
        <w:spacing w:after="160"/>
        <w:rPr>
          <w:rFonts w:cstheme="minorHAnsi"/>
          <w:lang w:eastAsia="pl-PL"/>
        </w:rPr>
      </w:pPr>
      <w:r w:rsidRPr="00296DB4">
        <w:rPr>
          <w:rFonts w:cstheme="minorHAnsi"/>
          <w:lang w:eastAsia="pl-PL"/>
        </w:rPr>
        <w:t>pełnieniu funkcji członka organu nadzorczego lub zarządzającego, prokurenta, pełnomocnika,</w:t>
      </w:r>
    </w:p>
    <w:p w14:paraId="26760C0E" w14:textId="77777777" w:rsidR="00284D18" w:rsidRPr="00296DB4" w:rsidRDefault="00284D18" w:rsidP="00284D18">
      <w:pPr>
        <w:pStyle w:val="Akapitzlist"/>
        <w:numPr>
          <w:ilvl w:val="0"/>
          <w:numId w:val="25"/>
        </w:numPr>
        <w:suppressAutoHyphens/>
        <w:spacing w:after="160"/>
        <w:rPr>
          <w:rFonts w:cstheme="minorHAnsi"/>
          <w:lang w:eastAsia="pl-PL"/>
        </w:rPr>
      </w:pPr>
      <w:r w:rsidRPr="00296DB4">
        <w:rPr>
          <w:rFonts w:cstheme="minorHAnsi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</w:p>
    <w:p w14:paraId="3173F748" w14:textId="17130F86" w:rsidR="00284D18" w:rsidRPr="00296DB4" w:rsidRDefault="00284D18" w:rsidP="00284D18">
      <w:pPr>
        <w:pStyle w:val="Akapitzlist"/>
        <w:numPr>
          <w:ilvl w:val="0"/>
          <w:numId w:val="25"/>
        </w:numPr>
        <w:suppressAutoHyphens/>
        <w:spacing w:after="160"/>
        <w:rPr>
          <w:rFonts w:cstheme="minorHAnsi"/>
          <w:lang w:eastAsia="pl-PL"/>
        </w:rPr>
      </w:pPr>
      <w:r w:rsidRPr="00296DB4">
        <w:rPr>
          <w:rFonts w:cstheme="minorHAnsi"/>
          <w:lang w:eastAsia="pl-PL"/>
        </w:rPr>
        <w:t xml:space="preserve">pozostawaniu w takim stosunku prawnym lub faktycznym, że istnieje uzasadniona wątpliwość co do ich bezstronności lub niezależności w związku z postępowaniem </w:t>
      </w:r>
      <w:r w:rsidRPr="00296DB4">
        <w:rPr>
          <w:rFonts w:cstheme="minorHAnsi"/>
          <w:lang w:eastAsia="pl-PL"/>
        </w:rPr>
        <w:br/>
        <w:t>o udzielenie zamówienia.</w:t>
      </w:r>
    </w:p>
    <w:p w14:paraId="0F26D12E" w14:textId="13D87693" w:rsidR="00F33C48" w:rsidRPr="00296DB4" w:rsidRDefault="009527BB" w:rsidP="005056C4">
      <w:pPr>
        <w:pStyle w:val="Nagwek2"/>
      </w:pPr>
      <w:r w:rsidRPr="00296DB4">
        <w:t>VI</w:t>
      </w:r>
      <w:r w:rsidR="00284D18" w:rsidRPr="00296DB4">
        <w:t>I</w:t>
      </w:r>
      <w:r w:rsidRPr="00296DB4">
        <w:t>. Informacje dodatkowe</w:t>
      </w:r>
    </w:p>
    <w:p w14:paraId="5F338230" w14:textId="430AA880" w:rsidR="00F33C48" w:rsidRPr="00296DB4" w:rsidRDefault="00F33C48" w:rsidP="00284D18">
      <w:pPr>
        <w:pStyle w:val="Akapitzlist"/>
        <w:numPr>
          <w:ilvl w:val="2"/>
          <w:numId w:val="17"/>
        </w:numPr>
        <w:ind w:left="284"/>
      </w:pPr>
      <w:r w:rsidRPr="00296DB4">
        <w:t>Niniejsze zapytanie nie stanowi oferty w myśl art. 66 Kod</w:t>
      </w:r>
      <w:r w:rsidR="00085982" w:rsidRPr="00296DB4">
        <w:t xml:space="preserve">eksu cywilnego, jak również nie </w:t>
      </w:r>
      <w:r w:rsidRPr="00296DB4">
        <w:t>jest ogłoszeniem w rozumieniu ustawy Prawo zamówień publicznych.</w:t>
      </w:r>
    </w:p>
    <w:p w14:paraId="56165948" w14:textId="72A0039A" w:rsidR="00F33C48" w:rsidRPr="00296DB4" w:rsidRDefault="00F33C48" w:rsidP="00284D18">
      <w:pPr>
        <w:pStyle w:val="Akapitzlist"/>
        <w:numPr>
          <w:ilvl w:val="2"/>
          <w:numId w:val="17"/>
        </w:numPr>
        <w:ind w:left="284"/>
      </w:pPr>
      <w:r w:rsidRPr="00296DB4">
        <w:lastRenderedPageBreak/>
        <w:t>Zamawiający zastrzega sobie prawo do zmiany treści nini</w:t>
      </w:r>
      <w:r w:rsidR="00085982" w:rsidRPr="00296DB4">
        <w:t xml:space="preserve">ejszego zapytania ofertowego do </w:t>
      </w:r>
      <w:r w:rsidRPr="00296DB4">
        <w:t>upływu terminu składania ofert. Jeżeli zmiany będą mogły</w:t>
      </w:r>
      <w:r w:rsidR="00085982" w:rsidRPr="00296DB4">
        <w:t xml:space="preserve"> mieć wpływ na treść składanych </w:t>
      </w:r>
      <w:r w:rsidRPr="00296DB4">
        <w:t>w postępowaniu ofert, Zamawiający przedłuży termin ich składania.</w:t>
      </w:r>
    </w:p>
    <w:p w14:paraId="326C03F0" w14:textId="7702B6EE" w:rsidR="00F33C48" w:rsidRPr="00296DB4" w:rsidRDefault="00F33C48" w:rsidP="00284D18">
      <w:pPr>
        <w:pStyle w:val="Akapitzlist"/>
        <w:numPr>
          <w:ilvl w:val="2"/>
          <w:numId w:val="17"/>
        </w:numPr>
        <w:ind w:left="284"/>
      </w:pPr>
      <w:r w:rsidRPr="00296DB4">
        <w:t xml:space="preserve">Wszelkie koszty związane z przygotowaniem i złożeniem oferty ponosi Wykonawca. </w:t>
      </w:r>
    </w:p>
    <w:p w14:paraId="74DFCD6D" w14:textId="0AA508BF" w:rsidR="00F33C48" w:rsidRPr="00296DB4" w:rsidRDefault="00F33C48" w:rsidP="00284D18">
      <w:pPr>
        <w:pStyle w:val="Akapitzlist"/>
        <w:numPr>
          <w:ilvl w:val="2"/>
          <w:numId w:val="17"/>
        </w:numPr>
        <w:ind w:left="284"/>
      </w:pPr>
      <w:r w:rsidRPr="00296DB4">
        <w:t>W odpowiedzi na zapytanie ofertowe, każdy z Wyk</w:t>
      </w:r>
      <w:r w:rsidR="00085982" w:rsidRPr="00296DB4">
        <w:t xml:space="preserve">onawców może złożyć tylko jedną </w:t>
      </w:r>
      <w:r w:rsidRPr="00296DB4">
        <w:t>ofertę. Złożenie przez Wykonawcę więcej niż jednej oferty, w sp</w:t>
      </w:r>
      <w:r w:rsidR="00085982" w:rsidRPr="00296DB4">
        <w:t xml:space="preserve">osób inny niż określony </w:t>
      </w:r>
      <w:r w:rsidR="0021141F" w:rsidRPr="00296DB4">
        <w:br/>
      </w:r>
      <w:r w:rsidR="00085982" w:rsidRPr="00296DB4">
        <w:t xml:space="preserve">w </w:t>
      </w:r>
      <w:r w:rsidRPr="00296DB4">
        <w:t>niniejszym dokumencie lub po wyznaczonym terminie, spowoduje jej odrzucenie.</w:t>
      </w:r>
    </w:p>
    <w:p w14:paraId="48D8B420" w14:textId="6B95589F" w:rsidR="00F33C48" w:rsidRPr="00296DB4" w:rsidRDefault="00F33C48" w:rsidP="00284D18">
      <w:pPr>
        <w:pStyle w:val="Akapitzlist"/>
        <w:numPr>
          <w:ilvl w:val="2"/>
          <w:numId w:val="17"/>
        </w:numPr>
        <w:ind w:left="284"/>
      </w:pPr>
      <w:r w:rsidRPr="00296DB4">
        <w:t>Zamawiający nie dopuszcza składania ofert częściowych i wariantowych.</w:t>
      </w:r>
    </w:p>
    <w:p w14:paraId="3C830E43" w14:textId="1C5FB2E6" w:rsidR="00F33C48" w:rsidRPr="00296DB4" w:rsidRDefault="00F33C48" w:rsidP="00284D18">
      <w:pPr>
        <w:pStyle w:val="Akapitzlist"/>
        <w:numPr>
          <w:ilvl w:val="2"/>
          <w:numId w:val="17"/>
        </w:numPr>
        <w:ind w:left="284"/>
      </w:pPr>
      <w:r w:rsidRPr="00296DB4">
        <w:t>Zamawiający zastrzega sobie prawo do unieważnienia procedury na każdym jej et</w:t>
      </w:r>
      <w:r w:rsidR="00085982" w:rsidRPr="00296DB4">
        <w:t xml:space="preserve">apie, bez </w:t>
      </w:r>
      <w:r w:rsidRPr="00296DB4">
        <w:t>podania uzasadnienia, a także do pozostawienia procedury bez wyboru ofert.</w:t>
      </w:r>
    </w:p>
    <w:p w14:paraId="0AC6E3A1" w14:textId="6770B340" w:rsidR="00F33C48" w:rsidRPr="00296DB4" w:rsidRDefault="00F33C48" w:rsidP="00284D18">
      <w:pPr>
        <w:pStyle w:val="Akapitzlist"/>
        <w:numPr>
          <w:ilvl w:val="2"/>
          <w:numId w:val="17"/>
        </w:numPr>
        <w:ind w:left="284"/>
      </w:pPr>
      <w:r w:rsidRPr="00296DB4">
        <w:t>W celu zapewnienia porównywalności wszystkich ofe</w:t>
      </w:r>
      <w:r w:rsidR="00085982" w:rsidRPr="00296DB4">
        <w:t xml:space="preserve">rt, Zamawiający zastrzega sobie </w:t>
      </w:r>
      <w:r w:rsidRPr="00296DB4">
        <w:t>prawo do skontaktowania się z właściwymi Wyko</w:t>
      </w:r>
      <w:r w:rsidR="00085982" w:rsidRPr="00296DB4">
        <w:t xml:space="preserve">nawcami w celu uzupełnienia lub </w:t>
      </w:r>
      <w:r w:rsidRPr="00296DB4">
        <w:t>doprecyzowania ofert.</w:t>
      </w:r>
    </w:p>
    <w:p w14:paraId="0B174F50" w14:textId="0B7499A8" w:rsidR="00F33C48" w:rsidRPr="00296DB4" w:rsidRDefault="00F33C48" w:rsidP="00284D18">
      <w:pPr>
        <w:pStyle w:val="Akapitzlist"/>
        <w:numPr>
          <w:ilvl w:val="2"/>
          <w:numId w:val="17"/>
        </w:numPr>
        <w:ind w:left="284"/>
      </w:pPr>
      <w:r w:rsidRPr="00296DB4">
        <w:t xml:space="preserve">Po wyborze Wykonawcy, Zamawiający zastrzega </w:t>
      </w:r>
      <w:r w:rsidR="00085982" w:rsidRPr="00296DB4">
        <w:t xml:space="preserve">sobie prawo do uszczegółowienia </w:t>
      </w:r>
      <w:r w:rsidRPr="00296DB4">
        <w:t>warunków współpracy.</w:t>
      </w:r>
    </w:p>
    <w:p w14:paraId="184A6FE7" w14:textId="6ED0B98D" w:rsidR="00F33C48" w:rsidRPr="00296DB4" w:rsidRDefault="00F33C48" w:rsidP="00284D18">
      <w:pPr>
        <w:pStyle w:val="Akapitzlist"/>
        <w:numPr>
          <w:ilvl w:val="2"/>
          <w:numId w:val="17"/>
        </w:numPr>
        <w:ind w:left="284"/>
      </w:pPr>
      <w:r w:rsidRPr="00296DB4">
        <w:t>Zamawiający zawiera umowy na podstawie własny</w:t>
      </w:r>
      <w:r w:rsidR="00085982" w:rsidRPr="00296DB4">
        <w:t xml:space="preserve">ch, stosowanych w Ministerstwie </w:t>
      </w:r>
      <w:r w:rsidRPr="00296DB4">
        <w:t>wzorów umów.</w:t>
      </w:r>
    </w:p>
    <w:p w14:paraId="7AB3C176" w14:textId="31F66FB4" w:rsidR="00F33C48" w:rsidRPr="00296DB4" w:rsidRDefault="00F33C48" w:rsidP="00284D18">
      <w:pPr>
        <w:pStyle w:val="Akapitzlist"/>
        <w:numPr>
          <w:ilvl w:val="2"/>
          <w:numId w:val="17"/>
        </w:numPr>
        <w:ind w:left="284"/>
      </w:pPr>
      <w:r w:rsidRPr="00296DB4">
        <w:t>Płatność dokonywana jest po wykonaniu usługi. Zama</w:t>
      </w:r>
      <w:r w:rsidR="00085982" w:rsidRPr="00296DB4">
        <w:t xml:space="preserve">wiający nie wypłaca zaliczek za </w:t>
      </w:r>
      <w:r w:rsidRPr="00296DB4">
        <w:t>realizację zamówienia publicznego.</w:t>
      </w:r>
    </w:p>
    <w:p w14:paraId="5D11D62F" w14:textId="3CF7D4A1" w:rsidR="00F33C48" w:rsidRPr="00296DB4" w:rsidRDefault="00F33C48" w:rsidP="00284D18">
      <w:pPr>
        <w:pStyle w:val="Akapitzlist"/>
        <w:numPr>
          <w:ilvl w:val="2"/>
          <w:numId w:val="17"/>
        </w:numPr>
        <w:ind w:left="284"/>
      </w:pPr>
      <w:r w:rsidRPr="00296DB4">
        <w:t>Zamawiający zastrzega, że całościowa oferowana ce</w:t>
      </w:r>
      <w:r w:rsidR="00085982" w:rsidRPr="00296DB4">
        <w:t xml:space="preserve">na stanowi informację publiczną </w:t>
      </w:r>
      <w:r w:rsidR="0021141F" w:rsidRPr="00296DB4">
        <w:br/>
      </w:r>
      <w:r w:rsidRPr="00296DB4">
        <w:t>w rozumieniu ustawy o dostępie do informacji publicznej</w:t>
      </w:r>
      <w:r w:rsidR="00085982" w:rsidRPr="00296DB4">
        <w:t xml:space="preserve"> i w przypadku zastrzeżenia jej </w:t>
      </w:r>
      <w:r w:rsidRPr="00296DB4">
        <w:t xml:space="preserve">przez Wykonawcę jako tajemnicy przedsiębiorstwa lub </w:t>
      </w:r>
      <w:r w:rsidR="00085982" w:rsidRPr="00296DB4">
        <w:t xml:space="preserve">tajemnicy przedsiębiorcy Oferta </w:t>
      </w:r>
      <w:r w:rsidRPr="00296DB4">
        <w:t>zostanie odrzucona.</w:t>
      </w:r>
    </w:p>
    <w:p w14:paraId="4F0CA7FD" w14:textId="5D53C8D8" w:rsidR="00F33C48" w:rsidRPr="00296DB4" w:rsidRDefault="009527BB" w:rsidP="005056C4">
      <w:pPr>
        <w:pStyle w:val="Nagwek2"/>
      </w:pPr>
      <w:r w:rsidRPr="00296DB4">
        <w:t>VIII. Wykaz załączników</w:t>
      </w:r>
    </w:p>
    <w:p w14:paraId="3395671C" w14:textId="447309AC" w:rsidR="00164D40" w:rsidRPr="00296DB4" w:rsidRDefault="00F33C48" w:rsidP="00284D18">
      <w:pPr>
        <w:pStyle w:val="Akapitzlist"/>
        <w:numPr>
          <w:ilvl w:val="0"/>
          <w:numId w:val="1"/>
        </w:numPr>
      </w:pPr>
      <w:r w:rsidRPr="00296DB4">
        <w:t>Załącznik nr 1 – Formularz ofertowy.</w:t>
      </w:r>
    </w:p>
    <w:p w14:paraId="6672E40F" w14:textId="44A625BE" w:rsidR="002A2B98" w:rsidRPr="00296DB4" w:rsidRDefault="00F07C27" w:rsidP="009D0A8F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  <w:spacing w:before="12000" w:line="240" w:lineRule="auto"/>
        <w:ind w:left="357" w:hanging="357"/>
        <w:rPr>
          <w:b/>
          <w:lang w:eastAsia="pl-PL"/>
        </w:rPr>
      </w:pPr>
      <w:r w:rsidRPr="00296DB4">
        <w:t>Załącznik nr 2 – Oświadczenie o braku powiązań kapitałowych lub osobowych.</w:t>
      </w:r>
    </w:p>
    <w:sectPr w:rsidR="002A2B98" w:rsidRPr="0029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953"/>
    <w:multiLevelType w:val="hybridMultilevel"/>
    <w:tmpl w:val="84842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4E73"/>
    <w:multiLevelType w:val="hybridMultilevel"/>
    <w:tmpl w:val="88DCF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7BA2"/>
    <w:multiLevelType w:val="hybridMultilevel"/>
    <w:tmpl w:val="70443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989"/>
    <w:multiLevelType w:val="hybridMultilevel"/>
    <w:tmpl w:val="88244E60"/>
    <w:lvl w:ilvl="0" w:tplc="097A01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32C00"/>
    <w:multiLevelType w:val="hybridMultilevel"/>
    <w:tmpl w:val="895039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0DD763C"/>
    <w:multiLevelType w:val="hybridMultilevel"/>
    <w:tmpl w:val="7B7CE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271AD"/>
    <w:multiLevelType w:val="hybridMultilevel"/>
    <w:tmpl w:val="AE2E990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CC83CA0"/>
    <w:multiLevelType w:val="hybridMultilevel"/>
    <w:tmpl w:val="4808CF60"/>
    <w:lvl w:ilvl="0" w:tplc="1444FC0E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85B4F"/>
    <w:multiLevelType w:val="hybridMultilevel"/>
    <w:tmpl w:val="BC70870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B562DF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55597"/>
    <w:multiLevelType w:val="hybridMultilevel"/>
    <w:tmpl w:val="3AA43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3116E"/>
    <w:multiLevelType w:val="hybridMultilevel"/>
    <w:tmpl w:val="7AB6F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B039E"/>
    <w:multiLevelType w:val="hybridMultilevel"/>
    <w:tmpl w:val="FADEB6F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B363B4B"/>
    <w:multiLevelType w:val="hybridMultilevel"/>
    <w:tmpl w:val="C108E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7A796C"/>
    <w:multiLevelType w:val="hybridMultilevel"/>
    <w:tmpl w:val="F0D0F6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700FF"/>
    <w:multiLevelType w:val="hybridMultilevel"/>
    <w:tmpl w:val="160C3068"/>
    <w:lvl w:ilvl="0" w:tplc="A0E2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D3F25"/>
    <w:multiLevelType w:val="hybridMultilevel"/>
    <w:tmpl w:val="7AA6960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C0E5548"/>
    <w:multiLevelType w:val="hybridMultilevel"/>
    <w:tmpl w:val="8E20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600F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03E75"/>
    <w:multiLevelType w:val="hybridMultilevel"/>
    <w:tmpl w:val="4900F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03E6A"/>
    <w:multiLevelType w:val="hybridMultilevel"/>
    <w:tmpl w:val="15DC2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D100B0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B3D1D"/>
    <w:multiLevelType w:val="hybridMultilevel"/>
    <w:tmpl w:val="9B2C5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42260"/>
    <w:multiLevelType w:val="hybridMultilevel"/>
    <w:tmpl w:val="987656FA"/>
    <w:lvl w:ilvl="0" w:tplc="A0E2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303FC"/>
    <w:multiLevelType w:val="hybridMultilevel"/>
    <w:tmpl w:val="32E28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B4982"/>
    <w:multiLevelType w:val="hybridMultilevel"/>
    <w:tmpl w:val="6458D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861DB"/>
    <w:multiLevelType w:val="hybridMultilevel"/>
    <w:tmpl w:val="6A64D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EC6E01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47492"/>
    <w:multiLevelType w:val="hybridMultilevel"/>
    <w:tmpl w:val="DAACA6E6"/>
    <w:lvl w:ilvl="0" w:tplc="A0E2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B7503"/>
    <w:multiLevelType w:val="hybridMultilevel"/>
    <w:tmpl w:val="72D0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20"/>
  </w:num>
  <w:num w:numId="5">
    <w:abstractNumId w:val="0"/>
  </w:num>
  <w:num w:numId="6">
    <w:abstractNumId w:val="6"/>
  </w:num>
  <w:num w:numId="7">
    <w:abstractNumId w:val="16"/>
  </w:num>
  <w:num w:numId="8">
    <w:abstractNumId w:val="11"/>
  </w:num>
  <w:num w:numId="9">
    <w:abstractNumId w:val="17"/>
  </w:num>
  <w:num w:numId="10">
    <w:abstractNumId w:val="24"/>
  </w:num>
  <w:num w:numId="11">
    <w:abstractNumId w:val="12"/>
  </w:num>
  <w:num w:numId="12">
    <w:abstractNumId w:val="25"/>
  </w:num>
  <w:num w:numId="13">
    <w:abstractNumId w:val="18"/>
  </w:num>
  <w:num w:numId="14">
    <w:abstractNumId w:val="9"/>
  </w:num>
  <w:num w:numId="15">
    <w:abstractNumId w:val="21"/>
  </w:num>
  <w:num w:numId="16">
    <w:abstractNumId w:val="15"/>
  </w:num>
  <w:num w:numId="17">
    <w:abstractNumId w:val="19"/>
  </w:num>
  <w:num w:numId="18">
    <w:abstractNumId w:val="14"/>
  </w:num>
  <w:num w:numId="19">
    <w:abstractNumId w:val="1"/>
  </w:num>
  <w:num w:numId="20">
    <w:abstractNumId w:val="5"/>
  </w:num>
  <w:num w:numId="21">
    <w:abstractNumId w:val="22"/>
  </w:num>
  <w:num w:numId="22">
    <w:abstractNumId w:val="10"/>
  </w:num>
  <w:num w:numId="23">
    <w:abstractNumId w:val="2"/>
  </w:num>
  <w:num w:numId="24">
    <w:abstractNumId w:val="8"/>
  </w:num>
  <w:num w:numId="25">
    <w:abstractNumId w:val="26"/>
  </w:num>
  <w:num w:numId="26">
    <w:abstractNumId w:val="23"/>
  </w:num>
  <w:num w:numId="27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EA921BB-25CA-422B-BA40-87F4E726DDFB}"/>
  </w:docVars>
  <w:rsids>
    <w:rsidRoot w:val="00F33C48"/>
    <w:rsid w:val="000328D1"/>
    <w:rsid w:val="00085982"/>
    <w:rsid w:val="000E4657"/>
    <w:rsid w:val="001045DD"/>
    <w:rsid w:val="001152FF"/>
    <w:rsid w:val="00164D40"/>
    <w:rsid w:val="00186036"/>
    <w:rsid w:val="001A46C9"/>
    <w:rsid w:val="001C0FB0"/>
    <w:rsid w:val="001F1AEB"/>
    <w:rsid w:val="001F28D3"/>
    <w:rsid w:val="00206740"/>
    <w:rsid w:val="002072DD"/>
    <w:rsid w:val="0021141F"/>
    <w:rsid w:val="00235F69"/>
    <w:rsid w:val="00245744"/>
    <w:rsid w:val="002504DD"/>
    <w:rsid w:val="00284D18"/>
    <w:rsid w:val="00296DB4"/>
    <w:rsid w:val="002A1982"/>
    <w:rsid w:val="002A2B98"/>
    <w:rsid w:val="002F460F"/>
    <w:rsid w:val="00311E91"/>
    <w:rsid w:val="00324AA0"/>
    <w:rsid w:val="00334ED3"/>
    <w:rsid w:val="0034000E"/>
    <w:rsid w:val="003E5CA9"/>
    <w:rsid w:val="004650F5"/>
    <w:rsid w:val="00490073"/>
    <w:rsid w:val="005056C4"/>
    <w:rsid w:val="00505D68"/>
    <w:rsid w:val="00517F80"/>
    <w:rsid w:val="00522090"/>
    <w:rsid w:val="005639FD"/>
    <w:rsid w:val="00570CEE"/>
    <w:rsid w:val="00570E64"/>
    <w:rsid w:val="00583639"/>
    <w:rsid w:val="005B3A74"/>
    <w:rsid w:val="005B7286"/>
    <w:rsid w:val="005C7B3C"/>
    <w:rsid w:val="006162DC"/>
    <w:rsid w:val="00662965"/>
    <w:rsid w:val="00667AAC"/>
    <w:rsid w:val="00685527"/>
    <w:rsid w:val="006F701B"/>
    <w:rsid w:val="0071351A"/>
    <w:rsid w:val="0073267C"/>
    <w:rsid w:val="00744041"/>
    <w:rsid w:val="007F2C32"/>
    <w:rsid w:val="00822971"/>
    <w:rsid w:val="00827C18"/>
    <w:rsid w:val="00853018"/>
    <w:rsid w:val="00867477"/>
    <w:rsid w:val="008773C4"/>
    <w:rsid w:val="008C1B6A"/>
    <w:rsid w:val="008D4F6D"/>
    <w:rsid w:val="008D79F0"/>
    <w:rsid w:val="00915BC3"/>
    <w:rsid w:val="00931F9F"/>
    <w:rsid w:val="009527BB"/>
    <w:rsid w:val="009729BC"/>
    <w:rsid w:val="009B735F"/>
    <w:rsid w:val="009D0A8F"/>
    <w:rsid w:val="009F1AEA"/>
    <w:rsid w:val="00A23656"/>
    <w:rsid w:val="00A32F81"/>
    <w:rsid w:val="00A61366"/>
    <w:rsid w:val="00AA08EC"/>
    <w:rsid w:val="00B05904"/>
    <w:rsid w:val="00B06A60"/>
    <w:rsid w:val="00B13A25"/>
    <w:rsid w:val="00BA49BC"/>
    <w:rsid w:val="00BD50DC"/>
    <w:rsid w:val="00BE62E8"/>
    <w:rsid w:val="00C54EC4"/>
    <w:rsid w:val="00CA6499"/>
    <w:rsid w:val="00CA64BD"/>
    <w:rsid w:val="00D1706E"/>
    <w:rsid w:val="00D30A79"/>
    <w:rsid w:val="00DA270C"/>
    <w:rsid w:val="00DC6EE8"/>
    <w:rsid w:val="00E03100"/>
    <w:rsid w:val="00E50CA4"/>
    <w:rsid w:val="00E62963"/>
    <w:rsid w:val="00E86380"/>
    <w:rsid w:val="00E954CD"/>
    <w:rsid w:val="00F07C27"/>
    <w:rsid w:val="00F132FF"/>
    <w:rsid w:val="00F26B65"/>
    <w:rsid w:val="00F33C48"/>
    <w:rsid w:val="00F82486"/>
    <w:rsid w:val="00FC4674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0E70"/>
  <w15:chartTrackingRefBased/>
  <w15:docId w15:val="{D087EC64-8497-4882-ABC3-EDC801BF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4CD"/>
    <w:pPr>
      <w:spacing w:after="24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6C4"/>
    <w:pPr>
      <w:jc w:val="center"/>
      <w:outlineLvl w:val="0"/>
    </w:pPr>
    <w:rPr>
      <w:b/>
    </w:rPr>
  </w:style>
  <w:style w:type="paragraph" w:styleId="Nagwek2">
    <w:name w:val="heading 2"/>
    <w:basedOn w:val="Nagwek"/>
    <w:next w:val="Normalny"/>
    <w:link w:val="Nagwek2Znak"/>
    <w:uiPriority w:val="9"/>
    <w:unhideWhenUsed/>
    <w:qFormat/>
    <w:rsid w:val="005056C4"/>
    <w:pPr>
      <w:spacing w:after="240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Nagłowek 3,Numerowanie,L1,Preambuła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F33C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3C4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2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3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3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3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51A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056C4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056C4"/>
    <w:rPr>
      <w:rFonts w:ascii="Times New Roman" w:hAnsi="Times New Roman" w:cs="Times New Roman"/>
      <w:b/>
      <w:sz w:val="24"/>
      <w:szCs w:val="24"/>
    </w:rPr>
  </w:style>
  <w:style w:type="paragraph" w:styleId="Bezodstpw">
    <w:name w:val="No Spacing"/>
    <w:basedOn w:val="Normalny"/>
    <w:uiPriority w:val="1"/>
    <w:qFormat/>
    <w:rsid w:val="009729BC"/>
    <w:pPr>
      <w:spacing w:after="0"/>
      <w:jc w:val="left"/>
    </w:pPr>
    <w:rPr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6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AAC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F5C2D"/>
    <w:rPr>
      <w:color w:val="954F72" w:themeColor="followedHyperlink"/>
      <w:u w:val="single"/>
    </w:rPr>
  </w:style>
  <w:style w:type="character" w:customStyle="1" w:styleId="AkapitzlistZnak">
    <w:name w:val="Akapit z listą Znak"/>
    <w:aliases w:val="Akapit z listą BS Znak,CW_Lista Znak,Nagłowek 3 Znak,Numerowanie Znak,L1 Znak,Preambuła Znak,Kolorowa lista — akcent 11 Znak,Dot pt Znak,F5 List Paragraph Znak,Recommendation Znak,List Paragraph11 Znak,lp1 Znak,maz_wyliczenie Znak"/>
    <w:link w:val="Akapitzlist"/>
    <w:uiPriority w:val="34"/>
    <w:qFormat/>
    <w:locked/>
    <w:rsid w:val="00284D18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mc.bip.gov.pl/objasnienia-prawne/warunki-techniczne-publikacji-oraz-struktura-dokumentu-elektronicznego-deklaracji-dostepnosci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1EC2588-42F8-45D7-B11E-A35D23229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A921BB-25CA-422B-BA40-87F4E726DD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5767</TotalTime>
  <Pages>9</Pages>
  <Words>2746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do audytu cyfrowego</vt:lpstr>
    </vt:vector>
  </TitlesOfParts>
  <Company>Acer</Company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do audytu cyfrowego</dc:title>
  <dc:subject/>
  <dc:creator>Natalia Cholewicka</dc:creator>
  <cp:keywords/>
  <dc:description/>
  <cp:lastModifiedBy>Natalia Cholewicka</cp:lastModifiedBy>
  <cp:revision>4</cp:revision>
  <cp:lastPrinted>2026-02-23T08:11:00Z</cp:lastPrinted>
  <dcterms:created xsi:type="dcterms:W3CDTF">2026-02-20T08:06:00Z</dcterms:created>
  <dcterms:modified xsi:type="dcterms:W3CDTF">2026-02-24T13:30:00Z</dcterms:modified>
</cp:coreProperties>
</file>