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3A54" w14:textId="53C18065" w:rsidR="00E02D43" w:rsidRPr="00E02D43" w:rsidRDefault="00E02D43" w:rsidP="00E02D43">
      <w:pPr>
        <w:pStyle w:val="Nagwek1"/>
      </w:pPr>
      <w:r w:rsidRPr="00E02D43">
        <w:t>Opis przedmiotu zamówienia</w:t>
      </w:r>
    </w:p>
    <w:p w14:paraId="30ED76E0" w14:textId="4D982005" w:rsidR="00E02D43" w:rsidRPr="00A5106E" w:rsidRDefault="00E02D43" w:rsidP="00E02D43">
      <w:pPr>
        <w:pStyle w:val="Gwkaistopka"/>
      </w:pPr>
      <w:r w:rsidRPr="00A5106E">
        <w:t>Dostawa projektora multimedialnego</w:t>
      </w:r>
    </w:p>
    <w:p w14:paraId="20F62F84" w14:textId="77777777" w:rsidR="00E02D43" w:rsidRDefault="00E02D43" w:rsidP="00E02D43">
      <w:r>
        <w:t xml:space="preserve">Parametry, funkcjonalności </w:t>
      </w:r>
    </w:p>
    <w:p w14:paraId="1F89A103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Projektor przeznaczony do instalacji w sali wykładowej zapewniający obraz wysokiej jakości przy intensywnym oświetleniu.</w:t>
      </w:r>
    </w:p>
    <w:p w14:paraId="7DF2C38E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Wyświetlana rzeczywista rozdzielczość: minimum 1920x1200 pikseli.</w:t>
      </w:r>
    </w:p>
    <w:p w14:paraId="65452C20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Obsługiwane inne rozdzielczości: HD1080, SVGA, XGA, SXGA, WXGA, HD 720.</w:t>
      </w:r>
    </w:p>
    <w:p w14:paraId="29BAA61C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Obsługiwane rozdzielczości wejściowe: do co najmniej 3840 x 2160 pikseli.</w:t>
      </w:r>
    </w:p>
    <w:p w14:paraId="78835BE2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Obiektyw pozwalający na wyświetlanie obrazu o szerokości ok. 200 cm z odległości ok. 300 – 400 cm.</w:t>
      </w:r>
    </w:p>
    <w:p w14:paraId="6268D387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Manualna regulacja ostrości.</w:t>
      </w:r>
    </w:p>
    <w:p w14:paraId="6A87C792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Manualny zoom optyczny.</w:t>
      </w:r>
    </w:p>
    <w:p w14:paraId="76000A98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Źródło światła: laser.</w:t>
      </w:r>
    </w:p>
    <w:p w14:paraId="7AA37242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Jasność co najmniej 5000 lumenów zgodne z normą ISO 21118:2012.</w:t>
      </w:r>
    </w:p>
    <w:p w14:paraId="6B6356B8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Żywotność źródła światła co najmniej 20000 godzin w trybie standardowej jasności.</w:t>
      </w:r>
    </w:p>
    <w:p w14:paraId="5D02BDB7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 xml:space="preserve">Złącza sygnałowe co najmniej: 2x HDMI, 1x </w:t>
      </w:r>
      <w:proofErr w:type="spellStart"/>
      <w:r>
        <w:t>HDBaseT</w:t>
      </w:r>
      <w:proofErr w:type="spellEnd"/>
      <w:r>
        <w:t>, 1x VGA (D-</w:t>
      </w:r>
      <w:proofErr w:type="spellStart"/>
      <w:r>
        <w:t>sub</w:t>
      </w:r>
      <w:proofErr w:type="spellEnd"/>
      <w:r>
        <w:t xml:space="preserve"> 15 pin).</w:t>
      </w:r>
    </w:p>
    <w:p w14:paraId="4D34EC79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 xml:space="preserve">Bezprzewodowy </w:t>
      </w:r>
      <w:r w:rsidRPr="00A5106E">
        <w:t xml:space="preserve">odbiornik </w:t>
      </w:r>
      <w:r>
        <w:t xml:space="preserve">wideo </w:t>
      </w:r>
      <w:r w:rsidRPr="00A5106E">
        <w:t>pracujący zgodnie ze standardami DLNA/</w:t>
      </w:r>
      <w:proofErr w:type="spellStart"/>
      <w:r w:rsidRPr="00A5106E">
        <w:t>Miracast</w:t>
      </w:r>
      <w:proofErr w:type="spellEnd"/>
      <w:r w:rsidRPr="00A5106E">
        <w:t>, współpracujący z urządzeniami mobilnymi Windows, Android, bez konieczności instalacji dedykowanego oprogramowania</w:t>
      </w:r>
      <w:r>
        <w:t>.</w:t>
      </w:r>
    </w:p>
    <w:p w14:paraId="0260B361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Złącza kontrolowania urządzeniem: RS232, Ethernet.</w:t>
      </w:r>
    </w:p>
    <w:p w14:paraId="52CE4669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Sterowanie projektorem za pomocą pilota, aplikacji lub przeglądarki internetowej przez interfejs Ethernet oraz RS232 (producent musi udostępniać dokumentację do tego protokołu).</w:t>
      </w:r>
    </w:p>
    <w:p w14:paraId="4E701080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Obudowa umożliwiająca instalację na uniwersalnym uchwycie sufitowym.</w:t>
      </w:r>
    </w:p>
    <w:p w14:paraId="3C35CDA0" w14:textId="77777777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 xml:space="preserve">Wyposażenie dodatkowe: </w:t>
      </w:r>
    </w:p>
    <w:p w14:paraId="771E45C5" w14:textId="77777777" w:rsidR="00E02D43" w:rsidRDefault="00E02D43" w:rsidP="00E02D43">
      <w:pPr>
        <w:pStyle w:val="Akapitzlist"/>
        <w:numPr>
          <w:ilvl w:val="1"/>
          <w:numId w:val="42"/>
        </w:numPr>
        <w:suppressAutoHyphens w:val="0"/>
      </w:pPr>
      <w:r>
        <w:t xml:space="preserve">kabel zasilający, pilot zdalnego sterowania + baterie, </w:t>
      </w:r>
    </w:p>
    <w:p w14:paraId="5F677DD1" w14:textId="77777777" w:rsidR="00E02D43" w:rsidRDefault="00E02D43" w:rsidP="00E02D43">
      <w:pPr>
        <w:pStyle w:val="Akapitzlist"/>
        <w:numPr>
          <w:ilvl w:val="1"/>
          <w:numId w:val="42"/>
        </w:numPr>
        <w:suppressAutoHyphens w:val="0"/>
      </w:pPr>
      <w:r>
        <w:t xml:space="preserve">nadajnik </w:t>
      </w:r>
      <w:proofErr w:type="spellStart"/>
      <w:r>
        <w:t>HDBaseT</w:t>
      </w:r>
      <w:proofErr w:type="spellEnd"/>
      <w:r>
        <w:t xml:space="preserve"> pozwalający na transmisję obrazu w rozdzielczości co najmniej 1920x1200 pikseli z częstotliwością 50 klatek/s z użyciem kabla UTP o długości ok 20 m, lub optyczny kabel HDMI o długości ok 20m</w:t>
      </w:r>
    </w:p>
    <w:p w14:paraId="2052A075" w14:textId="77777777" w:rsidR="00E02D43" w:rsidRDefault="00E02D43" w:rsidP="00E02D43">
      <w:pPr>
        <w:pStyle w:val="Akapitzlist"/>
        <w:numPr>
          <w:ilvl w:val="1"/>
          <w:numId w:val="42"/>
        </w:numPr>
        <w:suppressAutoHyphens w:val="0"/>
      </w:pPr>
      <w:r>
        <w:t xml:space="preserve">adapter </w:t>
      </w:r>
      <w:proofErr w:type="spellStart"/>
      <w:r>
        <w:t>DisplayPort</w:t>
      </w:r>
      <w:proofErr w:type="spellEnd"/>
      <w:r>
        <w:t>-HDMI obsługujący rozdzielczość do 4K.</w:t>
      </w:r>
    </w:p>
    <w:p w14:paraId="1CE260B4" w14:textId="77777777" w:rsidR="00E02D43" w:rsidRDefault="00E02D43" w:rsidP="00E02D43">
      <w:pPr>
        <w:pStyle w:val="Akapitzlist"/>
        <w:numPr>
          <w:ilvl w:val="1"/>
          <w:numId w:val="42"/>
        </w:numPr>
        <w:suppressAutoHyphens w:val="0"/>
      </w:pPr>
      <w:r>
        <w:t>uchwyt do montażu na suficie w odległości około 10, 20 cm od sufitu</w:t>
      </w:r>
    </w:p>
    <w:p w14:paraId="33A495B5" w14:textId="77777777" w:rsidR="00E02D43" w:rsidRDefault="00E02D43" w:rsidP="00E02D43">
      <w:pPr>
        <w:pStyle w:val="Akapitzlist"/>
        <w:numPr>
          <w:ilvl w:val="1"/>
          <w:numId w:val="42"/>
        </w:numPr>
        <w:suppressAutoHyphens w:val="0"/>
      </w:pPr>
      <w:r>
        <w:t>ekran projekcyjny rozwijany ręcznie o szerokości ok 200 – 240 cm pozwalający na wyświetlanie obrazu w układzie 16:9 oraz 4:3. Ekran powinien umożliwiać montaż na ścianie lub suficie.</w:t>
      </w:r>
    </w:p>
    <w:p w14:paraId="4C10230F" w14:textId="58A3593E" w:rsidR="00E02D43" w:rsidRDefault="00E02D43" w:rsidP="00E02D43">
      <w:pPr>
        <w:pStyle w:val="Akapitzlist"/>
        <w:numPr>
          <w:ilvl w:val="0"/>
          <w:numId w:val="42"/>
        </w:numPr>
        <w:suppressAutoHyphens w:val="0"/>
      </w:pPr>
      <w:r>
        <w:t>Gwarancja co najmniej 24 miesiące</w:t>
      </w:r>
      <w:r>
        <w:t>.</w:t>
      </w:r>
    </w:p>
    <w:p w14:paraId="1B7C4882" w14:textId="77777777" w:rsidR="0088309F" w:rsidRPr="00FA7364" w:rsidRDefault="0088309F" w:rsidP="00FA7364">
      <w:pPr>
        <w:autoSpaceDN w:val="0"/>
        <w:spacing w:before="240" w:after="240" w:line="276" w:lineRule="auto"/>
        <w:ind w:left="426" w:hanging="284"/>
        <w:jc w:val="both"/>
        <w:textAlignment w:val="baseline"/>
        <w:rPr>
          <w:rFonts w:cstheme="minorHAnsi"/>
          <w:sz w:val="24"/>
          <w:szCs w:val="24"/>
        </w:rPr>
      </w:pPr>
    </w:p>
    <w:sectPr w:rsidR="0088309F" w:rsidRPr="00FA7364" w:rsidSect="009863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7CAE" w14:textId="77777777" w:rsidR="0002608C" w:rsidRDefault="0002608C">
      <w:pPr>
        <w:spacing w:after="0" w:line="240" w:lineRule="auto"/>
      </w:pPr>
      <w:r>
        <w:separator/>
      </w:r>
    </w:p>
  </w:endnote>
  <w:endnote w:type="continuationSeparator" w:id="0">
    <w:p w14:paraId="6A1FBAF2" w14:textId="77777777" w:rsidR="0002608C" w:rsidRDefault="000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6DC1ED" w:rsidR="0077229E" w:rsidRDefault="00E927B8" w:rsidP="00E927B8">
    <w:pPr>
      <w:pStyle w:val="Stopka"/>
      <w:tabs>
        <w:tab w:val="clear" w:pos="4536"/>
        <w:tab w:val="clear" w:pos="9072"/>
        <w:tab w:val="left" w:pos="1230"/>
      </w:tabs>
    </w:pPr>
    <w:r>
      <w:tab/>
    </w:r>
    <w:r w:rsidRPr="00E927B8">
      <w:drawing>
        <wp:inline distT="0" distB="0" distL="0" distR="0" wp14:anchorId="342AA869" wp14:editId="7838B0FD">
          <wp:extent cx="5760720" cy="609600"/>
          <wp:effectExtent l="0" t="0" r="0" b="0"/>
          <wp:docPr id="3" name="Obraz 3" descr="dane kontaktowe Uczelni, nr telefonu, email, adres str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ane kontaktowe Uczelni, nr telefonu, email, adres stro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7B597" w14:textId="288F9B7E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Style w:val="Uwydatnienie"/>
        <w:rFonts w:asciiTheme="minorHAnsi" w:hAnsiTheme="minorHAnsi" w:cstheme="minorHAnsi"/>
        <w:color w:val="1B1B1B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2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D6FB" w14:textId="77777777" w:rsidR="0002608C" w:rsidRDefault="0002608C">
      <w:pPr>
        <w:spacing w:after="0" w:line="240" w:lineRule="auto"/>
      </w:pPr>
      <w:r>
        <w:separator/>
      </w:r>
    </w:p>
  </w:footnote>
  <w:footnote w:type="continuationSeparator" w:id="0">
    <w:p w14:paraId="1912456A" w14:textId="77777777" w:rsidR="0002608C" w:rsidRDefault="0002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2657D81A" w:rsidR="0077229E" w:rsidRDefault="00E927B8">
    <w:pPr>
      <w:pStyle w:val="Nagwek"/>
    </w:pPr>
    <w:r>
      <w:rPr>
        <w:noProof/>
      </w:rPr>
      <w:drawing>
        <wp:inline distT="0" distB="0" distL="0" distR="0" wp14:anchorId="2E602CF0" wp14:editId="59BDCD7E">
          <wp:extent cx="1463040" cy="389890"/>
          <wp:effectExtent l="0" t="0" r="3810" b="0"/>
          <wp:docPr id="1" name="Obraz 1" descr="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380"/>
    <w:multiLevelType w:val="hybridMultilevel"/>
    <w:tmpl w:val="D2DAA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E9A"/>
    <w:multiLevelType w:val="hybridMultilevel"/>
    <w:tmpl w:val="4776EA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B40CC"/>
    <w:multiLevelType w:val="hybridMultilevel"/>
    <w:tmpl w:val="47D05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884"/>
    <w:multiLevelType w:val="hybridMultilevel"/>
    <w:tmpl w:val="6128B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2F3B"/>
    <w:multiLevelType w:val="hybridMultilevel"/>
    <w:tmpl w:val="16D0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C06EC8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DFE"/>
    <w:multiLevelType w:val="hybridMultilevel"/>
    <w:tmpl w:val="0CA8DC82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2AB9"/>
    <w:multiLevelType w:val="hybridMultilevel"/>
    <w:tmpl w:val="CA7EF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836"/>
    <w:multiLevelType w:val="hybridMultilevel"/>
    <w:tmpl w:val="C4F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3AA79CA">
      <w:start w:val="1"/>
      <w:numFmt w:val="decimal"/>
      <w:lvlText w:val="%7."/>
      <w:lvlJc w:val="left"/>
      <w:pPr>
        <w:ind w:left="5040" w:hanging="360"/>
      </w:pPr>
      <w:rPr>
        <w:rFonts w:asciiTheme="minorHAnsi" w:eastAsiaTheme="majorEastAsia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56543"/>
    <w:multiLevelType w:val="hybridMultilevel"/>
    <w:tmpl w:val="12D6E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526"/>
    <w:multiLevelType w:val="hybridMultilevel"/>
    <w:tmpl w:val="3E68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9A7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3756"/>
    <w:multiLevelType w:val="hybridMultilevel"/>
    <w:tmpl w:val="7C58D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A34"/>
    <w:multiLevelType w:val="hybridMultilevel"/>
    <w:tmpl w:val="4C4C550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17F3108"/>
    <w:multiLevelType w:val="hybridMultilevel"/>
    <w:tmpl w:val="68D091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20A0F10"/>
    <w:multiLevelType w:val="hybridMultilevel"/>
    <w:tmpl w:val="27321BC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3575E"/>
    <w:multiLevelType w:val="hybridMultilevel"/>
    <w:tmpl w:val="5874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4485"/>
    <w:multiLevelType w:val="hybridMultilevel"/>
    <w:tmpl w:val="D784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B4F"/>
    <w:multiLevelType w:val="hybridMultilevel"/>
    <w:tmpl w:val="BC70870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B562DF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2AD5"/>
    <w:multiLevelType w:val="hybridMultilevel"/>
    <w:tmpl w:val="CABA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F247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E12"/>
    <w:multiLevelType w:val="hybridMultilevel"/>
    <w:tmpl w:val="025CC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E11B3"/>
    <w:multiLevelType w:val="hybridMultilevel"/>
    <w:tmpl w:val="55589C2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516F"/>
    <w:multiLevelType w:val="hybridMultilevel"/>
    <w:tmpl w:val="91781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0757"/>
    <w:multiLevelType w:val="hybridMultilevel"/>
    <w:tmpl w:val="9F0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358E"/>
    <w:multiLevelType w:val="hybridMultilevel"/>
    <w:tmpl w:val="6C2A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04FA"/>
    <w:multiLevelType w:val="hybridMultilevel"/>
    <w:tmpl w:val="4216955E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1F5E"/>
    <w:multiLevelType w:val="hybridMultilevel"/>
    <w:tmpl w:val="629C59A2"/>
    <w:lvl w:ilvl="0" w:tplc="0A862024">
      <w:start w:val="1"/>
      <w:numFmt w:val="decimal"/>
      <w:lvlText w:val="%1."/>
      <w:lvlJc w:val="left"/>
      <w:pPr>
        <w:ind w:left="425" w:hanging="141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5E5"/>
    <w:multiLevelType w:val="hybridMultilevel"/>
    <w:tmpl w:val="9C96C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FE1"/>
    <w:multiLevelType w:val="hybridMultilevel"/>
    <w:tmpl w:val="FF0C1CE0"/>
    <w:lvl w:ilvl="0" w:tplc="08BA146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7308"/>
    <w:multiLevelType w:val="hybridMultilevel"/>
    <w:tmpl w:val="730E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8A6AE68">
      <w:start w:val="8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50A15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864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6DF"/>
    <w:multiLevelType w:val="hybridMultilevel"/>
    <w:tmpl w:val="E042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37A7"/>
    <w:multiLevelType w:val="hybridMultilevel"/>
    <w:tmpl w:val="9198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121E"/>
    <w:multiLevelType w:val="hybridMultilevel"/>
    <w:tmpl w:val="6CFA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CD9"/>
    <w:multiLevelType w:val="hybridMultilevel"/>
    <w:tmpl w:val="FBB86CC4"/>
    <w:lvl w:ilvl="0" w:tplc="118C6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08F6"/>
    <w:multiLevelType w:val="hybridMultilevel"/>
    <w:tmpl w:val="F2D45F96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E4E88"/>
    <w:multiLevelType w:val="hybridMultilevel"/>
    <w:tmpl w:val="9A3C5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12763"/>
    <w:multiLevelType w:val="hybridMultilevel"/>
    <w:tmpl w:val="856E4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03E5B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1070B"/>
    <w:multiLevelType w:val="hybridMultilevel"/>
    <w:tmpl w:val="E744D2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207575E"/>
    <w:multiLevelType w:val="hybridMultilevel"/>
    <w:tmpl w:val="CCEC0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02D00"/>
    <w:multiLevelType w:val="hybridMultilevel"/>
    <w:tmpl w:val="48846BD2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B7503"/>
    <w:multiLevelType w:val="hybridMultilevel"/>
    <w:tmpl w:val="72D0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2"/>
  </w:num>
  <w:num w:numId="5">
    <w:abstractNumId w:val="17"/>
  </w:num>
  <w:num w:numId="6">
    <w:abstractNumId w:val="41"/>
  </w:num>
  <w:num w:numId="7">
    <w:abstractNumId w:val="30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28"/>
  </w:num>
  <w:num w:numId="13">
    <w:abstractNumId w:val="39"/>
  </w:num>
  <w:num w:numId="14">
    <w:abstractNumId w:val="26"/>
  </w:num>
  <w:num w:numId="15">
    <w:abstractNumId w:val="11"/>
  </w:num>
  <w:num w:numId="16">
    <w:abstractNumId w:val="35"/>
  </w:num>
  <w:num w:numId="17">
    <w:abstractNumId w:val="37"/>
  </w:num>
  <w:num w:numId="18">
    <w:abstractNumId w:val="31"/>
  </w:num>
  <w:num w:numId="19">
    <w:abstractNumId w:val="19"/>
  </w:num>
  <w:num w:numId="20">
    <w:abstractNumId w:val="34"/>
  </w:num>
  <w:num w:numId="21">
    <w:abstractNumId w:val="33"/>
  </w:num>
  <w:num w:numId="22">
    <w:abstractNumId w:val="20"/>
  </w:num>
  <w:num w:numId="23">
    <w:abstractNumId w:val="38"/>
  </w:num>
  <w:num w:numId="24">
    <w:abstractNumId w:val="0"/>
  </w:num>
  <w:num w:numId="25">
    <w:abstractNumId w:val="21"/>
  </w:num>
  <w:num w:numId="26">
    <w:abstractNumId w:val="3"/>
  </w:num>
  <w:num w:numId="27">
    <w:abstractNumId w:val="10"/>
  </w:num>
  <w:num w:numId="28">
    <w:abstractNumId w:val="29"/>
  </w:num>
  <w:num w:numId="29">
    <w:abstractNumId w:val="24"/>
  </w:num>
  <w:num w:numId="30">
    <w:abstractNumId w:val="9"/>
  </w:num>
  <w:num w:numId="31">
    <w:abstractNumId w:val="1"/>
  </w:num>
  <w:num w:numId="32">
    <w:abstractNumId w:val="7"/>
  </w:num>
  <w:num w:numId="33">
    <w:abstractNumId w:val="27"/>
  </w:num>
  <w:num w:numId="34">
    <w:abstractNumId w:val="14"/>
  </w:num>
  <w:num w:numId="35">
    <w:abstractNumId w:val="40"/>
  </w:num>
  <w:num w:numId="36">
    <w:abstractNumId w:val="25"/>
  </w:num>
  <w:num w:numId="37">
    <w:abstractNumId w:val="5"/>
  </w:num>
  <w:num w:numId="38">
    <w:abstractNumId w:val="36"/>
  </w:num>
  <w:num w:numId="39">
    <w:abstractNumId w:val="8"/>
  </w:num>
  <w:num w:numId="40">
    <w:abstractNumId w:val="13"/>
  </w:num>
  <w:num w:numId="41">
    <w:abstractNumId w:val="12"/>
  </w:num>
  <w:num w:numId="4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autoHyphenation/>
  <w:hyphenationZone w:val="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F6C8C0C-2A98-4189-B7B8-644359AE563B}"/>
  </w:docVars>
  <w:rsids>
    <w:rsidRoot w:val="0077229E"/>
    <w:rsid w:val="00016100"/>
    <w:rsid w:val="0002608C"/>
    <w:rsid w:val="00033A54"/>
    <w:rsid w:val="00051812"/>
    <w:rsid w:val="00061FA4"/>
    <w:rsid w:val="000754D2"/>
    <w:rsid w:val="00093D20"/>
    <w:rsid w:val="000B00DB"/>
    <w:rsid w:val="000C00DA"/>
    <w:rsid w:val="000C38A4"/>
    <w:rsid w:val="001006C5"/>
    <w:rsid w:val="00105006"/>
    <w:rsid w:val="00112C5B"/>
    <w:rsid w:val="00121033"/>
    <w:rsid w:val="0017053A"/>
    <w:rsid w:val="001B20D6"/>
    <w:rsid w:val="001C38FE"/>
    <w:rsid w:val="001F4343"/>
    <w:rsid w:val="001F7CB9"/>
    <w:rsid w:val="00207DB7"/>
    <w:rsid w:val="002108A9"/>
    <w:rsid w:val="00213D05"/>
    <w:rsid w:val="0021496C"/>
    <w:rsid w:val="002203FD"/>
    <w:rsid w:val="0023609B"/>
    <w:rsid w:val="002562FE"/>
    <w:rsid w:val="00265971"/>
    <w:rsid w:val="002718A2"/>
    <w:rsid w:val="002773D9"/>
    <w:rsid w:val="00284E42"/>
    <w:rsid w:val="002A64B5"/>
    <w:rsid w:val="002E6582"/>
    <w:rsid w:val="00301B79"/>
    <w:rsid w:val="003334E7"/>
    <w:rsid w:val="00335B33"/>
    <w:rsid w:val="00336B95"/>
    <w:rsid w:val="003675F7"/>
    <w:rsid w:val="003815EF"/>
    <w:rsid w:val="00387054"/>
    <w:rsid w:val="003B7F00"/>
    <w:rsid w:val="003C38F7"/>
    <w:rsid w:val="003D3892"/>
    <w:rsid w:val="003D71A3"/>
    <w:rsid w:val="003F24D1"/>
    <w:rsid w:val="003F3C44"/>
    <w:rsid w:val="0041264E"/>
    <w:rsid w:val="004209D7"/>
    <w:rsid w:val="00433F12"/>
    <w:rsid w:val="004428C9"/>
    <w:rsid w:val="00465522"/>
    <w:rsid w:val="004855F8"/>
    <w:rsid w:val="004A5B4C"/>
    <w:rsid w:val="004B0FFB"/>
    <w:rsid w:val="004F39F3"/>
    <w:rsid w:val="00532998"/>
    <w:rsid w:val="00580873"/>
    <w:rsid w:val="00593757"/>
    <w:rsid w:val="005B27CC"/>
    <w:rsid w:val="005D1E9D"/>
    <w:rsid w:val="005E192D"/>
    <w:rsid w:val="005F0E4F"/>
    <w:rsid w:val="00604029"/>
    <w:rsid w:val="006116E4"/>
    <w:rsid w:val="006276E0"/>
    <w:rsid w:val="006460E0"/>
    <w:rsid w:val="006546E0"/>
    <w:rsid w:val="0066271C"/>
    <w:rsid w:val="00680E2C"/>
    <w:rsid w:val="006A5146"/>
    <w:rsid w:val="006F2F1A"/>
    <w:rsid w:val="00703049"/>
    <w:rsid w:val="007030AA"/>
    <w:rsid w:val="00707DA7"/>
    <w:rsid w:val="00732AF2"/>
    <w:rsid w:val="0077229E"/>
    <w:rsid w:val="007803BA"/>
    <w:rsid w:val="00786F46"/>
    <w:rsid w:val="007B41A7"/>
    <w:rsid w:val="007D1EE2"/>
    <w:rsid w:val="0080437B"/>
    <w:rsid w:val="008070D4"/>
    <w:rsid w:val="0081058E"/>
    <w:rsid w:val="008124A4"/>
    <w:rsid w:val="00823A53"/>
    <w:rsid w:val="0085034B"/>
    <w:rsid w:val="00880E7D"/>
    <w:rsid w:val="008829CC"/>
    <w:rsid w:val="0088309F"/>
    <w:rsid w:val="00891F4F"/>
    <w:rsid w:val="008A27EB"/>
    <w:rsid w:val="008F0235"/>
    <w:rsid w:val="00905579"/>
    <w:rsid w:val="00946B86"/>
    <w:rsid w:val="009672D4"/>
    <w:rsid w:val="00972232"/>
    <w:rsid w:val="0098634D"/>
    <w:rsid w:val="0099001D"/>
    <w:rsid w:val="009C4786"/>
    <w:rsid w:val="009D1DA7"/>
    <w:rsid w:val="009F3F12"/>
    <w:rsid w:val="00A61BE7"/>
    <w:rsid w:val="00A7141D"/>
    <w:rsid w:val="00AC2CF3"/>
    <w:rsid w:val="00AC3CBA"/>
    <w:rsid w:val="00AC6D2A"/>
    <w:rsid w:val="00AE7981"/>
    <w:rsid w:val="00AF0B43"/>
    <w:rsid w:val="00B14213"/>
    <w:rsid w:val="00B2388D"/>
    <w:rsid w:val="00B85C5A"/>
    <w:rsid w:val="00BA7518"/>
    <w:rsid w:val="00BF06D8"/>
    <w:rsid w:val="00BF67A0"/>
    <w:rsid w:val="00C13420"/>
    <w:rsid w:val="00C13E84"/>
    <w:rsid w:val="00C556A8"/>
    <w:rsid w:val="00C75462"/>
    <w:rsid w:val="00C82008"/>
    <w:rsid w:val="00C9095F"/>
    <w:rsid w:val="00CC04CE"/>
    <w:rsid w:val="00CC207B"/>
    <w:rsid w:val="00CC3D7E"/>
    <w:rsid w:val="00CD51AC"/>
    <w:rsid w:val="00CD78A2"/>
    <w:rsid w:val="00CE3488"/>
    <w:rsid w:val="00D00980"/>
    <w:rsid w:val="00D329F6"/>
    <w:rsid w:val="00D600D4"/>
    <w:rsid w:val="00D65BE4"/>
    <w:rsid w:val="00D67CF2"/>
    <w:rsid w:val="00D67F86"/>
    <w:rsid w:val="00D92DED"/>
    <w:rsid w:val="00DA41EA"/>
    <w:rsid w:val="00DB0A3B"/>
    <w:rsid w:val="00DD7F1F"/>
    <w:rsid w:val="00E02D43"/>
    <w:rsid w:val="00E218D6"/>
    <w:rsid w:val="00E31023"/>
    <w:rsid w:val="00E57A1E"/>
    <w:rsid w:val="00E845BD"/>
    <w:rsid w:val="00E927B8"/>
    <w:rsid w:val="00E96B03"/>
    <w:rsid w:val="00EC461C"/>
    <w:rsid w:val="00ED2495"/>
    <w:rsid w:val="00F16D38"/>
    <w:rsid w:val="00F2184E"/>
    <w:rsid w:val="00F233C7"/>
    <w:rsid w:val="00F54175"/>
    <w:rsid w:val="00F83383"/>
    <w:rsid w:val="00F847D8"/>
    <w:rsid w:val="00F9437E"/>
    <w:rsid w:val="00FA7364"/>
    <w:rsid w:val="00FB1A55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E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02D4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207B"/>
    <w:pPr>
      <w:keepNext/>
      <w:keepLines/>
      <w:spacing w:before="40" w:after="0"/>
      <w:jc w:val="both"/>
      <w:outlineLvl w:val="2"/>
    </w:pPr>
    <w:rPr>
      <w:rFonts w:eastAsiaTheme="majorEastAsia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Nagłowek 3,Numerowanie,L1,Preambuła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C00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420"/>
    <w:rPr>
      <w:color w:val="0000FF"/>
      <w:u w:val="single"/>
    </w:rPr>
  </w:style>
  <w:style w:type="character" w:customStyle="1" w:styleId="AkapitzlistZnak">
    <w:name w:val="Akapit z listą Znak"/>
    <w:aliases w:val="Akapit z listą BS Znak,CW_Lista Znak,Nagłowek 3 Znak,Numerowanie Znak,L1 Znak,Preambuła Znak,Kolorowa lista — akcent 11 Znak,Dot pt Znak,F5 List Paragraph Znak,Recommendation Znak,List Paragraph11 Znak,lp1 Znak,maz_wyliczenie Znak"/>
    <w:link w:val="Akapitzlist"/>
    <w:uiPriority w:val="34"/>
    <w:qFormat/>
    <w:locked/>
    <w:rsid w:val="00C13420"/>
  </w:style>
  <w:style w:type="character" w:customStyle="1" w:styleId="markedcontent">
    <w:name w:val="markedcontent"/>
    <w:basedOn w:val="Domylnaczcionkaakapitu"/>
    <w:rsid w:val="00C13420"/>
  </w:style>
  <w:style w:type="character" w:styleId="Tytuksiki">
    <w:name w:val="Book Title"/>
    <w:basedOn w:val="Domylnaczcionkaakapitu"/>
    <w:uiPriority w:val="33"/>
    <w:qFormat/>
    <w:rsid w:val="00C13420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E02D4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053A"/>
    <w:rPr>
      <w:rFonts w:asciiTheme="majorHAnsi" w:eastAsiaTheme="majorEastAsia" w:hAnsiTheme="majorHAnsi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C207B"/>
    <w:rPr>
      <w:rFonts w:eastAsiaTheme="majorEastAsia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F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84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97549A-2D02-4618-999F-BDB2084E5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C8C0C-2A98-4189-B7B8-644359AE56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: dostawa, montaż i uruchomienie napędu elektrycznego do automatycznego otwierania i zamykania istniejących drzwi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projektor</dc:title>
  <dc:subject/>
  <dc:creator>Monika Konopka</dc:creator>
  <dc:description/>
  <cp:lastModifiedBy>Natalia Cholewicka</cp:lastModifiedBy>
  <cp:revision>4</cp:revision>
  <cp:lastPrinted>2025-11-27T09:59:00Z</cp:lastPrinted>
  <dcterms:created xsi:type="dcterms:W3CDTF">2025-11-27T21:17:00Z</dcterms:created>
  <dcterms:modified xsi:type="dcterms:W3CDTF">2025-11-27T21:20:00Z</dcterms:modified>
  <dc:language>pl-PL</dc:language>
</cp:coreProperties>
</file>