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106B" w14:textId="77777777" w:rsidR="008500EC" w:rsidRDefault="008500EC" w:rsidP="008500EC">
      <w:pPr>
        <w:pStyle w:val="Nagwek1"/>
      </w:pPr>
      <w:r>
        <w:t>ODOPWIEDZI NA ZADANE PYTANIA</w:t>
      </w:r>
    </w:p>
    <w:p w14:paraId="5547CCC9" w14:textId="77777777" w:rsidR="008500EC" w:rsidRDefault="008500EC" w:rsidP="008500EC">
      <w:pPr>
        <w:pStyle w:val="Nagwek2"/>
      </w:pPr>
      <w:r>
        <w:t>Pytanie nr 1</w:t>
      </w:r>
    </w:p>
    <w:p w14:paraId="3E8814DC" w14:textId="77777777" w:rsidR="008500EC" w:rsidRDefault="008500EC" w:rsidP="008500EC">
      <w:r>
        <w:t>Czy istnieje możliwość przesłania zdjęć od wewnątrz, w celu oceny powierzchni montażowej pod automat? Minimalna powierzchnia montażowa pod automat to 10 cm</w:t>
      </w:r>
    </w:p>
    <w:p w14:paraId="05950D99" w14:textId="77777777" w:rsidR="008500EC" w:rsidRDefault="008500EC" w:rsidP="008500EC">
      <w:r>
        <w:t>Odpowiedź na pytanie nr 1</w:t>
      </w:r>
    </w:p>
    <w:p w14:paraId="4237599C" w14:textId="77777777" w:rsidR="008500EC" w:rsidRDefault="008500EC" w:rsidP="008500EC">
      <w:r>
        <w:t>Dokumentacja fotograficzna od wewnątrz w załącznikach nr 1-4.</w:t>
      </w:r>
    </w:p>
    <w:p w14:paraId="607583E5" w14:textId="77777777" w:rsidR="008500EC" w:rsidRDefault="008500EC" w:rsidP="008500EC">
      <w:r>
        <w:t>Dostępna powierzchnia montażowa pod automat to 8 cm.</w:t>
      </w:r>
    </w:p>
    <w:p w14:paraId="1751DA4F" w14:textId="77777777" w:rsidR="008500EC" w:rsidRDefault="008500EC" w:rsidP="008500EC">
      <w:pPr>
        <w:pStyle w:val="Nagwek2"/>
      </w:pPr>
      <w:r>
        <w:t>Pytanie nr 2</w:t>
      </w:r>
    </w:p>
    <w:p w14:paraId="3A30D4AD" w14:textId="77777777" w:rsidR="008500EC" w:rsidRDefault="008500EC" w:rsidP="008500EC">
      <w:r>
        <w:t>W przypadku drzwi Wejście główne do budynku przy ul. Akademickiej 1 automatyzacji podlega tylko skrzydło czynne, bierna pozostaje stałe? Czy automatyzowane mają być oba skrzydła?</w:t>
      </w:r>
    </w:p>
    <w:p w14:paraId="7E5BD1BA" w14:textId="77777777" w:rsidR="008500EC" w:rsidRDefault="008500EC" w:rsidP="008500EC">
      <w:r>
        <w:t>Odpowiedź na pytanie nr 2</w:t>
      </w:r>
    </w:p>
    <w:p w14:paraId="2389C774" w14:textId="77777777" w:rsidR="008500EC" w:rsidRDefault="008500EC" w:rsidP="008500EC">
      <w:r>
        <w:t>W przypadku drzwi „Wejście główne do budynku przy ul. Akademickiej 1” automatyzacji podlega tylko skrzydło czynne.</w:t>
      </w:r>
    </w:p>
    <w:p w14:paraId="77B582C8" w14:textId="77777777" w:rsidR="008500EC" w:rsidRDefault="008500EC" w:rsidP="008500EC">
      <w:pPr>
        <w:pStyle w:val="Nagwek2"/>
      </w:pPr>
      <w:r>
        <w:t>Pytanie nr 3</w:t>
      </w:r>
    </w:p>
    <w:p w14:paraId="0967241A" w14:textId="77777777" w:rsidR="008500EC" w:rsidRDefault="008500EC" w:rsidP="008500EC">
      <w:r>
        <w:t>W związku z zapytaniem ofertowym dotyczącym projektu „Akademia Łomżyńska dostępna plus” nr FERS.03.01-IP.08-0132/24, chciałbym przeprowadzić wizję lokalną.</w:t>
      </w:r>
    </w:p>
    <w:p w14:paraId="54E0AD38" w14:textId="77777777" w:rsidR="008500EC" w:rsidRDefault="008500EC" w:rsidP="008500EC">
      <w:r>
        <w:t>Czy mogę przyjechać jutro około 12:00 - 13:00?</w:t>
      </w:r>
    </w:p>
    <w:p w14:paraId="4A622AE3" w14:textId="77777777" w:rsidR="008500EC" w:rsidRDefault="008500EC" w:rsidP="008500EC">
      <w:r>
        <w:t>Proszę o podanie kontaktu do osoby, z którą będę mógł przeprowadzić wizję.</w:t>
      </w:r>
    </w:p>
    <w:p w14:paraId="331435BC" w14:textId="77777777" w:rsidR="008500EC" w:rsidRDefault="008500EC" w:rsidP="008500EC">
      <w:r>
        <w:t>Odpowiedź na pytanie nr 3</w:t>
      </w:r>
    </w:p>
    <w:p w14:paraId="44AD39AB" w14:textId="0F4AE7FB" w:rsidR="00305FE5" w:rsidRDefault="008500EC" w:rsidP="008500EC">
      <w:r>
        <w:t>Istnieje możliwość odbycia wizji lokalnej w terminie do 27.11.2025 r. po uprzednim uzgodnieniu godziny wizji lokalnej. Osoby do kontaktu: Natalia Cholewicka tel. 862155958, Monika Konopka tel. 862156603.</w:t>
      </w:r>
    </w:p>
    <w:p w14:paraId="50E7F606" w14:textId="77777777" w:rsidR="00FB63C1" w:rsidRDefault="00FB63C1" w:rsidP="00FB63C1">
      <w:pPr>
        <w:spacing w:before="240" w:after="0"/>
        <w:rPr>
          <w:b/>
          <w:bCs/>
        </w:rPr>
      </w:pPr>
      <w:bookmarkStart w:id="0" w:name="_Hlk215052382"/>
      <w:r w:rsidRPr="00FB63C1">
        <w:rPr>
          <w:b/>
          <w:bCs/>
        </w:rPr>
        <w:t xml:space="preserve">Pytanie nr </w:t>
      </w:r>
      <w:r w:rsidRPr="00FB63C1">
        <w:rPr>
          <w:b/>
          <w:bCs/>
        </w:rPr>
        <w:t>4</w:t>
      </w:r>
    </w:p>
    <w:bookmarkEnd w:id="0"/>
    <w:p w14:paraId="61F14B5B" w14:textId="58C32179" w:rsidR="00FB63C1" w:rsidRPr="00FB63C1" w:rsidRDefault="00FB63C1" w:rsidP="008500EC">
      <w:pPr>
        <w:rPr>
          <w:b/>
          <w:bCs/>
        </w:rPr>
      </w:pPr>
      <w:r w:rsidRPr="00FB63C1">
        <w:t>Proszę jeszcze o informacje odnośnie planowanego sposobu zamknięcia drzwi na noc? W tej chwili na zdjęciach widoczne są zamki mechaniczne + klamki. Zamki należy wymienić, bo musi być system który "zwolni" zamek w momencie otwarcia, jakiego rozwiązania Państwo oczekujecie?</w:t>
      </w:r>
    </w:p>
    <w:p w14:paraId="0F41945B" w14:textId="1FA61D49" w:rsidR="00FB63C1" w:rsidRDefault="00FB63C1" w:rsidP="008500EC">
      <w:r w:rsidRPr="00FB63C1">
        <w:t xml:space="preserve">Odpowiedź na pytanie nr </w:t>
      </w:r>
      <w:r>
        <w:t>4</w:t>
      </w:r>
    </w:p>
    <w:p w14:paraId="01577056" w14:textId="743F8EEF" w:rsidR="00FB63C1" w:rsidRDefault="00FB63C1" w:rsidP="008500EC">
      <w:r w:rsidRPr="00FB63C1">
        <w:t xml:space="preserve">Uprzejmie informuję, że obecnie drzwi są wyposażone w klamkę oraz mechaniczne zamki ewakuacyjne (paniczne). Po montażu automatyki drzwiowej przewidujemy zachowanie funkcji bezpieczeństwa, jednak konieczne będzie zastosowanie rozwiązania kompatybilnego z napędem. Drzwi w godzinach nocnych mają pozostać zamknięte w sposób uniemożliwiający wejście z zewnątrz, natomiast od wewnątrz musi być zapewniona pełna funkcja ewakuacyjna. Oczekujemy zastosowania </w:t>
      </w:r>
      <w:r w:rsidRPr="00FB63C1">
        <w:lastRenderedPageBreak/>
        <w:t>takiego zamka elektromechanicznego, który będzie współpracował z siłownikiem i zostanie automatycznie zwolniony (odblokowany) w momencie otwarcia skrzydła przez napęd.</w:t>
      </w:r>
    </w:p>
    <w:p w14:paraId="421769D7" w14:textId="2EFCB396" w:rsidR="005E4FD2" w:rsidRPr="005E4FD2" w:rsidRDefault="005E4FD2" w:rsidP="005E4FD2">
      <w:pPr>
        <w:rPr>
          <w:b/>
          <w:bCs/>
        </w:rPr>
      </w:pPr>
      <w:r w:rsidRPr="005E4FD2">
        <w:rPr>
          <w:b/>
          <w:bCs/>
        </w:rPr>
        <w:t xml:space="preserve">Pytanie nr </w:t>
      </w:r>
      <w:r w:rsidRPr="005E4FD2">
        <w:rPr>
          <w:b/>
          <w:bCs/>
        </w:rPr>
        <w:t>5</w:t>
      </w:r>
    </w:p>
    <w:p w14:paraId="63C11E43" w14:textId="36E55E54" w:rsidR="005E4FD2" w:rsidRDefault="005E4FD2" w:rsidP="005E4FD2">
      <w:r>
        <w:t>Jeżeli istnieje możliwość przedłużenia o kilka dni składania ofert?</w:t>
      </w:r>
    </w:p>
    <w:p w14:paraId="18608845" w14:textId="4863BF3A" w:rsidR="005E4FD2" w:rsidRDefault="005E4FD2" w:rsidP="005E4FD2">
      <w:r w:rsidRPr="005E4FD2">
        <w:t xml:space="preserve">Odpowiedź na pytanie nr </w:t>
      </w:r>
      <w:r>
        <w:t>5</w:t>
      </w:r>
    </w:p>
    <w:p w14:paraId="35ABE418" w14:textId="117954B8" w:rsidR="005E4FD2" w:rsidRDefault="005E4FD2" w:rsidP="005E4FD2">
      <w:r>
        <w:t xml:space="preserve">Tak. </w:t>
      </w:r>
      <w:r w:rsidR="00F94468">
        <w:t xml:space="preserve">Na podstawie pkt XIII.6 Zapytania ofertowego, </w:t>
      </w:r>
      <w:r>
        <w:t>Zamawiający przedłuża termin składania ofert do 2.12.2025 r.</w:t>
      </w:r>
      <w:r w:rsidR="006A55D7">
        <w:t xml:space="preserve"> do godz. 10.00</w:t>
      </w:r>
    </w:p>
    <w:sectPr w:rsidR="005E4FD2" w:rsidSect="000E00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17" w:right="1417" w:bottom="1417" w:left="1417" w:header="680" w:footer="7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406" w14:textId="77777777" w:rsidR="00C15EE9" w:rsidRDefault="00681F23">
      <w:pPr>
        <w:spacing w:after="0" w:line="240" w:lineRule="auto"/>
      </w:pPr>
      <w:r>
        <w:separator/>
      </w:r>
    </w:p>
  </w:endnote>
  <w:endnote w:type="continuationSeparator" w:id="0">
    <w:p w14:paraId="356709CB" w14:textId="77777777" w:rsidR="00C15EE9" w:rsidRDefault="0068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41B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2A0EAFC4" wp14:editId="1079BC89">
          <wp:extent cx="5759450" cy="793750"/>
          <wp:effectExtent l="0" t="0" r="0" b="0"/>
          <wp:docPr id="1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C8328" w14:textId="711CA63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 xml:space="preserve">Projekt „Akademia Łomżyńska dostępna plus” nr </w:t>
    </w:r>
    <w:r w:rsidR="006F5616" w:rsidRPr="006F5616">
      <w:rPr>
        <w:rFonts w:asciiTheme="minorHAnsi" w:hAnsiTheme="minorHAnsi" w:cstheme="minorHAnsi"/>
        <w:color w:val="1B1B1B"/>
        <w:sz w:val="16"/>
        <w:szCs w:val="16"/>
      </w:rPr>
      <w:t>FERS.03.01-IP.08-0132/24</w:t>
    </w:r>
  </w:p>
  <w:p w14:paraId="52707F67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D6D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5652F5D7" wp14:editId="47AE2B5F">
          <wp:extent cx="5759450" cy="793750"/>
          <wp:effectExtent l="0" t="0" r="0" b="0"/>
          <wp:docPr id="2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B994E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4F64FC7C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D0F" w14:textId="77777777" w:rsidR="00C15EE9" w:rsidRDefault="00681F23">
      <w:pPr>
        <w:spacing w:after="0" w:line="240" w:lineRule="auto"/>
      </w:pPr>
      <w:r>
        <w:separator/>
      </w:r>
    </w:p>
  </w:footnote>
  <w:footnote w:type="continuationSeparator" w:id="0">
    <w:p w14:paraId="5E481E09" w14:textId="77777777" w:rsidR="00C15EE9" w:rsidRDefault="0068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EA98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56192" behindDoc="0" locked="0" layoutInCell="0" allowOverlap="1" wp14:anchorId="3A93F1C0" wp14:editId="5583F05C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7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5F0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75648" behindDoc="0" locked="0" layoutInCell="0" allowOverlap="1" wp14:anchorId="29428E71" wp14:editId="795F41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0DE9"/>
    <w:multiLevelType w:val="hybridMultilevel"/>
    <w:tmpl w:val="123E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482"/>
    <w:multiLevelType w:val="hybridMultilevel"/>
    <w:tmpl w:val="2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3A4E"/>
    <w:multiLevelType w:val="hybridMultilevel"/>
    <w:tmpl w:val="3C086914"/>
    <w:lvl w:ilvl="0" w:tplc="10365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96E17"/>
    <w:multiLevelType w:val="hybridMultilevel"/>
    <w:tmpl w:val="D700A4CC"/>
    <w:lvl w:ilvl="0" w:tplc="CA6C47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31D"/>
    <w:multiLevelType w:val="hybridMultilevel"/>
    <w:tmpl w:val="5DE6AC5A"/>
    <w:lvl w:ilvl="0" w:tplc="891A15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179B"/>
    <w:multiLevelType w:val="hybridMultilevel"/>
    <w:tmpl w:val="70FE5E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475BC"/>
    <w:multiLevelType w:val="hybridMultilevel"/>
    <w:tmpl w:val="8898D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52BB1"/>
    <w:multiLevelType w:val="hybridMultilevel"/>
    <w:tmpl w:val="CC12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7EA"/>
    <w:multiLevelType w:val="hybridMultilevel"/>
    <w:tmpl w:val="F3EA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E7CFE"/>
    <w:multiLevelType w:val="hybridMultilevel"/>
    <w:tmpl w:val="8E4C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F7051"/>
    <w:multiLevelType w:val="hybridMultilevel"/>
    <w:tmpl w:val="4D8ED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0C6A"/>
    <w:multiLevelType w:val="hybridMultilevel"/>
    <w:tmpl w:val="63E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B4982"/>
    <w:multiLevelType w:val="hybridMultilevel"/>
    <w:tmpl w:val="6458D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B3496"/>
    <w:multiLevelType w:val="hybridMultilevel"/>
    <w:tmpl w:val="E5E2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ED9522F-CF31-469F-9602-24B3AA8D185C}"/>
  </w:docVars>
  <w:rsids>
    <w:rsidRoot w:val="00B04D4D"/>
    <w:rsid w:val="00066AEB"/>
    <w:rsid w:val="000E0085"/>
    <w:rsid w:val="00104EBE"/>
    <w:rsid w:val="001B20B4"/>
    <w:rsid w:val="00305FE5"/>
    <w:rsid w:val="003D69B0"/>
    <w:rsid w:val="003E530E"/>
    <w:rsid w:val="00424B2A"/>
    <w:rsid w:val="00591384"/>
    <w:rsid w:val="005E4FD2"/>
    <w:rsid w:val="00681F23"/>
    <w:rsid w:val="006A55D7"/>
    <w:rsid w:val="006F5616"/>
    <w:rsid w:val="00773974"/>
    <w:rsid w:val="007A5B89"/>
    <w:rsid w:val="007D1F86"/>
    <w:rsid w:val="008202E0"/>
    <w:rsid w:val="00827934"/>
    <w:rsid w:val="008500EC"/>
    <w:rsid w:val="008A684C"/>
    <w:rsid w:val="00934A6B"/>
    <w:rsid w:val="009825EA"/>
    <w:rsid w:val="00AE4EC6"/>
    <w:rsid w:val="00B04D4D"/>
    <w:rsid w:val="00B57F99"/>
    <w:rsid w:val="00C15EE9"/>
    <w:rsid w:val="00C34759"/>
    <w:rsid w:val="00CF2425"/>
    <w:rsid w:val="00D14327"/>
    <w:rsid w:val="00DE56A4"/>
    <w:rsid w:val="00E10E79"/>
    <w:rsid w:val="00E63B53"/>
    <w:rsid w:val="00EA4A1F"/>
    <w:rsid w:val="00ED6B45"/>
    <w:rsid w:val="00F87FD5"/>
    <w:rsid w:val="00F91039"/>
    <w:rsid w:val="00F94468"/>
    <w:rsid w:val="00F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EF3C"/>
  <w15:docId w15:val="{0143D208-3814-4F7E-9BEC-0422E14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E530E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B45"/>
    <w:pPr>
      <w:keepNext/>
      <w:keepLines/>
      <w:spacing w:before="240" w:after="0"/>
      <w:outlineLvl w:val="1"/>
    </w:pPr>
    <w:rPr>
      <w:rFonts w:eastAsiaTheme="majorEastAsia"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530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D6B45"/>
    <w:rPr>
      <w:rFonts w:eastAsiaTheme="majorEastAsia" w:cstheme="minorHAnsi"/>
      <w:b/>
      <w:bCs/>
    </w:rPr>
  </w:style>
  <w:style w:type="table" w:styleId="Tabela-Siatka">
    <w:name w:val="Table Grid"/>
    <w:basedOn w:val="Standardowy"/>
    <w:uiPriority w:val="39"/>
    <w:rsid w:val="000E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522F-CF31-469F-9602-24B3AA8D185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5DC5607-F1CE-42A0-8D37-F7B72EA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Odpowiedzi na zadane pytania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zadane pytania</dc:title>
  <dc:subject/>
  <dc:creator>Monika Konopka</dc:creator>
  <dc:description/>
  <cp:lastModifiedBy>Monika Konopka</cp:lastModifiedBy>
  <cp:revision>5</cp:revision>
  <cp:lastPrinted>2025-03-31T09:58:00Z</cp:lastPrinted>
  <dcterms:created xsi:type="dcterms:W3CDTF">2025-11-24T13:28:00Z</dcterms:created>
  <dcterms:modified xsi:type="dcterms:W3CDTF">2025-11-26T11:48:00Z</dcterms:modified>
  <dc:language>pl-PL</dc:language>
</cp:coreProperties>
</file>